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ascii="Times New Roman"/>
          <w:sz w:val="20"/>
        </w:rPr>
      </w:pPr>
      <w:r>
        <w:pict>
          <v:shape id="_x0000_s1026" o:spid="_x0000_s1026" o:spt="136" type="#_x0000_t136" style="position:absolute;left:0pt;margin-left:14.05pt;margin-top:401.35pt;height:48pt;width:576pt;mso-position-horizontal-relative:page;mso-position-vertical-relative:page;rotation:20643840f;z-index:-251846656;mso-width-relative:page;mso-height-relative:page;" fillcolor="#AAAAAA" filled="t" stroked="f" coordsize="21600,21600">
            <v:path/>
            <v:fill on="t" opacity="32639f" focussize="0,0"/>
            <v:stroke on="f"/>
            <v:imagedata o:title=""/>
            <o:lock v:ext="edit"/>
            <v:textpath on="t" fitpath="t" trim="t" xscale="f" string="北京市大兴区人民政府公报" style="font-family:微软雅黑;font-size:48pt;v-text-align:center;"/>
          </v:shape>
        </w:pict>
      </w: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spacing w:before="4"/>
        <w:rPr>
          <w:rFonts w:ascii="Times New Roman"/>
          <w:sz w:val="20"/>
        </w:rPr>
      </w:pPr>
    </w:p>
    <w:p>
      <w:pPr>
        <w:spacing w:before="0" w:line="1488" w:lineRule="exact"/>
        <w:ind w:left="0" w:right="1346" w:firstLine="0"/>
        <w:jc w:val="center"/>
        <w:rPr>
          <w:rFonts w:hint="eastAsia" w:ascii="方正小标宋简体" w:eastAsia="方正小标宋简体"/>
          <w:sz w:val="96"/>
        </w:rPr>
      </w:pPr>
      <w:r>
        <w:rPr>
          <w:rFonts w:hint="eastAsia" w:ascii="方正小标宋简体" w:eastAsia="方正小标宋简体"/>
          <w:color w:val="FF0000"/>
          <w:w w:val="70"/>
          <w:sz w:val="96"/>
        </w:rPr>
        <w:t>北京市大兴区人民政府文件</w:t>
      </w:r>
    </w:p>
    <w:p>
      <w:pPr>
        <w:pStyle w:val="3"/>
        <w:spacing w:before="4"/>
        <w:rPr>
          <w:rFonts w:ascii="方正小标宋简体"/>
          <w:sz w:val="61"/>
        </w:rPr>
      </w:pPr>
    </w:p>
    <w:p>
      <w:pPr>
        <w:pStyle w:val="3"/>
        <w:ind w:right="1359"/>
        <w:jc w:val="center"/>
      </w:pPr>
      <w:r>
        <w:pict>
          <v:shape id="_x0000_s1027" o:spid="_x0000_s1027" style="position:absolute;left:0pt;margin-left:77.5pt;margin-top:23.05pt;height:0.1pt;width:431.25pt;mso-position-horizontal-relative:page;mso-wrap-distance-bottom:0pt;mso-wrap-distance-top:0pt;z-index:-251658240;mso-width-relative:page;mso-height-relative:page;" filled="f" stroked="t" coordorigin="1551,461" coordsize="8625,0" path="m1551,461l10176,461e">
            <v:path arrowok="t"/>
            <v:fill on="f" focussize="0,0"/>
            <v:stroke weight="1.42866141732283pt" color="#FF0000"/>
            <v:imagedata o:title=""/>
            <o:lock v:ext="edit"/>
            <w10:wrap type="topAndBottom"/>
          </v:shape>
        </w:pict>
      </w:r>
      <w:r>
        <w:t>京兴政发〔2022〕7 号</w:t>
      </w:r>
    </w:p>
    <w:p>
      <w:pPr>
        <w:pStyle w:val="3"/>
      </w:pPr>
    </w:p>
    <w:p>
      <w:pPr>
        <w:pStyle w:val="3"/>
        <w:spacing w:before="9"/>
        <w:rPr>
          <w:sz w:val="43"/>
        </w:rPr>
      </w:pPr>
    </w:p>
    <w:p>
      <w:pPr>
        <w:pStyle w:val="2"/>
        <w:spacing w:line="669" w:lineRule="exact"/>
        <w:ind w:right="1361"/>
      </w:pPr>
      <w:r>
        <w:t>北京市大兴区人民政府关于</w:t>
      </w:r>
    </w:p>
    <w:p>
      <w:pPr>
        <w:spacing w:before="37" w:line="172" w:lineRule="auto"/>
        <w:ind w:left="1073" w:right="2432" w:firstLine="0"/>
        <w:jc w:val="center"/>
        <w:rPr>
          <w:rFonts w:hint="eastAsia" w:ascii="方正小标宋简体" w:eastAsia="方正小标宋简体"/>
          <w:sz w:val="44"/>
        </w:rPr>
      </w:pPr>
      <w:r>
        <w:rPr>
          <w:rFonts w:hint="eastAsia" w:ascii="方正小标宋简体" w:eastAsia="方正小标宋简体"/>
          <w:sz w:val="44"/>
        </w:rPr>
        <w:t>印发《大兴区支持商业航天产业发展暂行办法》的通知</w:t>
      </w:r>
    </w:p>
    <w:p>
      <w:pPr>
        <w:pStyle w:val="3"/>
        <w:spacing w:before="1"/>
        <w:rPr>
          <w:rFonts w:ascii="方正小标宋简体"/>
          <w:sz w:val="33"/>
        </w:rPr>
      </w:pPr>
    </w:p>
    <w:p>
      <w:pPr>
        <w:pStyle w:val="3"/>
        <w:spacing w:before="1" w:line="304" w:lineRule="auto"/>
        <w:ind w:left="113" w:right="1472"/>
      </w:pPr>
      <w:r>
        <w:rPr>
          <w:spacing w:val="5"/>
          <w:w w:val="95"/>
        </w:rPr>
        <w:t>各镇人民政府，区政府各委、办、局</w:t>
      </w:r>
      <w:r>
        <w:rPr>
          <w:spacing w:val="7"/>
          <w:w w:val="95"/>
        </w:rPr>
        <w:t>（</w:t>
      </w:r>
      <w:r>
        <w:rPr>
          <w:spacing w:val="5"/>
          <w:w w:val="95"/>
        </w:rPr>
        <w:t>公司</w:t>
      </w:r>
      <w:r>
        <w:rPr>
          <w:spacing w:val="-154"/>
          <w:w w:val="95"/>
        </w:rPr>
        <w:t>）</w:t>
      </w:r>
      <w:r>
        <w:rPr>
          <w:spacing w:val="4"/>
          <w:w w:val="95"/>
        </w:rPr>
        <w:t xml:space="preserve">、中心，各街道办 </w:t>
      </w:r>
      <w:r>
        <w:rPr>
          <w:spacing w:val="4"/>
        </w:rPr>
        <w:t>事处</w:t>
      </w:r>
    </w:p>
    <w:p>
      <w:pPr>
        <w:pStyle w:val="3"/>
        <w:spacing w:line="302" w:lineRule="auto"/>
        <w:ind w:left="113" w:right="1474" w:firstLine="640"/>
      </w:pPr>
      <w:r>
        <w:rPr>
          <w:w w:val="95"/>
        </w:rPr>
        <w:t xml:space="preserve">经区政府同意，现将《大兴区支持商业航天产业发展暂行办 </w:t>
      </w:r>
      <w:r>
        <w:t>法》印发给你们，请结合实际，认真贯彻执行。</w:t>
      </w:r>
    </w:p>
    <w:p>
      <w:pPr>
        <w:pStyle w:val="3"/>
        <w:rPr>
          <w:sz w:val="20"/>
        </w:rPr>
      </w:pPr>
    </w:p>
    <w:p>
      <w:pPr>
        <w:pStyle w:val="3"/>
        <w:rPr>
          <w:sz w:val="20"/>
        </w:rPr>
      </w:pPr>
    </w:p>
    <w:p>
      <w:pPr>
        <w:pStyle w:val="3"/>
        <w:rPr>
          <w:sz w:val="20"/>
        </w:rPr>
      </w:pPr>
    </w:p>
    <w:p>
      <w:pPr>
        <w:pStyle w:val="3"/>
        <w:spacing w:before="4"/>
        <w:rPr>
          <w:sz w:val="17"/>
        </w:rPr>
      </w:pPr>
    </w:p>
    <w:p>
      <w:pPr>
        <w:pStyle w:val="3"/>
        <w:spacing w:before="54" w:line="304" w:lineRule="auto"/>
        <w:ind w:left="5436" w:right="2352" w:hanging="445"/>
      </w:pPr>
      <w:r>
        <w:rPr>
          <w:spacing w:val="-2"/>
        </w:rPr>
        <w:t>北京市大兴区人民政府</w:t>
      </w:r>
      <w:r>
        <w:t>2022</w:t>
      </w:r>
      <w:r>
        <w:rPr>
          <w:spacing w:val="-54"/>
        </w:rPr>
        <w:t xml:space="preserve"> 年 </w:t>
      </w:r>
      <w:r>
        <w:t>3</w:t>
      </w:r>
      <w:r>
        <w:rPr>
          <w:spacing w:val="-54"/>
        </w:rPr>
        <w:t xml:space="preserve"> 月 </w:t>
      </w:r>
      <w:r>
        <w:t>31</w:t>
      </w:r>
      <w:r>
        <w:rPr>
          <w:spacing w:val="-40"/>
        </w:rPr>
        <w:t xml:space="preserve"> 日</w:t>
      </w:r>
    </w:p>
    <w:p>
      <w:pPr>
        <w:pStyle w:val="3"/>
        <w:ind w:left="754"/>
      </w:pPr>
      <w:r>
        <w:t>（此件主动公开）</w:t>
      </w:r>
    </w:p>
    <w:p>
      <w:pPr>
        <w:pStyle w:val="3"/>
        <w:rPr>
          <w:sz w:val="20"/>
        </w:rPr>
      </w:pPr>
    </w:p>
    <w:p>
      <w:pPr>
        <w:pStyle w:val="3"/>
        <w:spacing w:before="8"/>
        <w:rPr>
          <w:sz w:val="27"/>
        </w:rPr>
      </w:pPr>
    </w:p>
    <w:p>
      <w:pPr>
        <w:pStyle w:val="2"/>
        <w:spacing w:line="695" w:lineRule="exact"/>
        <w:ind w:left="852"/>
        <w:jc w:val="left"/>
      </w:pPr>
      <w:r>
        <w:t>大兴区支持商业航天产业发展暂行办法</w:t>
      </w:r>
    </w:p>
    <w:p>
      <w:pPr>
        <w:spacing w:after="0" w:line="695" w:lineRule="exact"/>
        <w:jc w:val="left"/>
        <w:sectPr>
          <w:footerReference r:id="rId3" w:type="default"/>
          <w:type w:val="continuous"/>
          <w:pgSz w:w="11910" w:h="16840"/>
          <w:pgMar w:top="1580" w:right="0" w:bottom="1520" w:left="1360" w:header="720" w:footer="1321" w:gutter="0"/>
          <w:pgNumType w:start="1"/>
        </w:sectPr>
      </w:pPr>
    </w:p>
    <w:p>
      <w:pPr>
        <w:pStyle w:val="3"/>
        <w:rPr>
          <w:rFonts w:ascii="方正小标宋简体"/>
          <w:sz w:val="20"/>
        </w:rPr>
      </w:pPr>
      <w:r>
        <w:pict>
          <v:shape id="_x0000_s1028" o:spid="_x0000_s1028" o:spt="136" type="#_x0000_t136" style="position:absolute;left:0pt;margin-left:14.05pt;margin-top:401.35pt;height:48pt;width:576pt;mso-position-horizontal-relative:page;mso-position-vertical-relative:page;rotation:20643840f;z-index:-251845632;mso-width-relative:page;mso-height-relative:page;" fillcolor="#AAAAAA" filled="t" stroked="f" coordsize="21600,21600">
            <v:path/>
            <v:fill on="t" opacity="32639f" focussize="0,0"/>
            <v:stroke on="f"/>
            <v:imagedata o:title=""/>
            <o:lock v:ext="edit"/>
            <v:textpath on="t" fitpath="t" trim="t" xscale="f" string="北京市大兴区人民政府公报" style="font-family:微软雅黑;font-size:48pt;v-text-align:center;"/>
          </v:shape>
        </w:pict>
      </w:r>
    </w:p>
    <w:p>
      <w:pPr>
        <w:pStyle w:val="3"/>
        <w:spacing w:before="17"/>
        <w:rPr>
          <w:rFonts w:ascii="方正小标宋简体"/>
          <w:sz w:val="10"/>
        </w:rPr>
      </w:pPr>
    </w:p>
    <w:p>
      <w:pPr>
        <w:pStyle w:val="3"/>
        <w:tabs>
          <w:tab w:val="left" w:pos="1279"/>
          <w:tab w:val="left" w:pos="1919"/>
        </w:tabs>
        <w:spacing w:before="54"/>
        <w:ind w:right="1357"/>
        <w:jc w:val="center"/>
        <w:rPr>
          <w:rFonts w:hint="eastAsia" w:ascii="黑体" w:eastAsia="黑体"/>
        </w:rPr>
      </w:pPr>
      <w:r>
        <w:rPr>
          <w:rFonts w:hint="eastAsia" w:ascii="黑体" w:eastAsia="黑体"/>
        </w:rPr>
        <w:t>第一章</w:t>
      </w:r>
      <w:r>
        <w:rPr>
          <w:rFonts w:hint="eastAsia" w:ascii="黑体" w:eastAsia="黑体"/>
        </w:rPr>
        <w:tab/>
      </w:r>
      <w:r>
        <w:rPr>
          <w:rFonts w:hint="eastAsia" w:ascii="黑体" w:eastAsia="黑体"/>
        </w:rPr>
        <w:t>总</w:t>
      </w:r>
      <w:r>
        <w:rPr>
          <w:rFonts w:hint="eastAsia" w:ascii="黑体" w:eastAsia="黑体"/>
        </w:rPr>
        <w:tab/>
      </w:r>
      <w:r>
        <w:rPr>
          <w:rFonts w:hint="eastAsia" w:ascii="黑体" w:eastAsia="黑体"/>
        </w:rPr>
        <w:t>则</w:t>
      </w:r>
    </w:p>
    <w:p>
      <w:pPr>
        <w:pStyle w:val="3"/>
        <w:rPr>
          <w:rFonts w:ascii="黑体"/>
        </w:rPr>
      </w:pPr>
    </w:p>
    <w:p>
      <w:pPr>
        <w:pStyle w:val="3"/>
        <w:spacing w:before="9"/>
        <w:rPr>
          <w:rFonts w:ascii="黑体"/>
          <w:sz w:val="29"/>
        </w:rPr>
      </w:pPr>
    </w:p>
    <w:p>
      <w:pPr>
        <w:pStyle w:val="3"/>
        <w:tabs>
          <w:tab w:val="left" w:pos="2033"/>
        </w:tabs>
        <w:spacing w:line="350" w:lineRule="auto"/>
        <w:ind w:left="113" w:right="1312" w:firstLine="640"/>
      </w:pPr>
      <w:r>
        <w:rPr>
          <w:rFonts w:hint="eastAsia" w:ascii="黑体" w:hAnsi="黑体" w:eastAsia="黑体"/>
        </w:rPr>
        <w:t>第一条</w:t>
      </w:r>
      <w:r>
        <w:rPr>
          <w:rFonts w:hint="eastAsia" w:ascii="黑体" w:hAnsi="黑体" w:eastAsia="黑体"/>
        </w:rPr>
        <w:tab/>
      </w:r>
      <w:r>
        <w:t>按照《北京市支持卫星网络产业发展的若干措施》要求，紧抓卫星网络产业发展重大机遇，助力“两区”建设，培育战略新兴产业，科学布局附加值</w:t>
      </w:r>
      <w:r>
        <w:rPr>
          <w:spacing w:val="3"/>
        </w:rPr>
        <w:t>高</w:t>
      </w:r>
      <w:r>
        <w:t>、创新能力强等产业链关键</w:t>
      </w:r>
      <w:r>
        <w:rPr>
          <w:w w:val="95"/>
        </w:rPr>
        <w:t>环节项目</w:t>
      </w:r>
      <w:r>
        <w:rPr>
          <w:spacing w:val="-79"/>
          <w:w w:val="95"/>
        </w:rPr>
        <w:t>，</w:t>
      </w:r>
      <w:r>
        <w:rPr>
          <w:w w:val="95"/>
        </w:rPr>
        <w:t>加快构建航天产业生态</w:t>
      </w:r>
      <w:r>
        <w:rPr>
          <w:spacing w:val="-80"/>
          <w:w w:val="95"/>
        </w:rPr>
        <w:t>，</w:t>
      </w:r>
      <w:r>
        <w:rPr>
          <w:w w:val="95"/>
        </w:rPr>
        <w:t xml:space="preserve">促进商业航天产业集聚发展， </w:t>
      </w:r>
      <w:r>
        <w:t>结合实际，特制定本办法。</w:t>
      </w:r>
    </w:p>
    <w:p>
      <w:pPr>
        <w:pStyle w:val="3"/>
        <w:spacing w:before="4"/>
        <w:rPr>
          <w:sz w:val="47"/>
        </w:rPr>
      </w:pPr>
    </w:p>
    <w:p>
      <w:pPr>
        <w:pStyle w:val="3"/>
        <w:tabs>
          <w:tab w:val="left" w:pos="1279"/>
        </w:tabs>
        <w:ind w:right="1360"/>
        <w:jc w:val="center"/>
        <w:rPr>
          <w:rFonts w:hint="eastAsia" w:ascii="黑体" w:eastAsia="黑体"/>
        </w:rPr>
      </w:pPr>
      <w:r>
        <w:rPr>
          <w:rFonts w:hint="eastAsia" w:ascii="黑体" w:eastAsia="黑体"/>
        </w:rPr>
        <w:t>第二章</w:t>
      </w:r>
      <w:r>
        <w:rPr>
          <w:rFonts w:hint="eastAsia" w:ascii="黑体" w:eastAsia="黑体"/>
        </w:rPr>
        <w:tab/>
      </w:r>
      <w:r>
        <w:rPr>
          <w:rFonts w:hint="eastAsia" w:ascii="黑体" w:eastAsia="黑体"/>
        </w:rPr>
        <w:t>支持对象</w:t>
      </w:r>
    </w:p>
    <w:p>
      <w:pPr>
        <w:pStyle w:val="3"/>
        <w:rPr>
          <w:rFonts w:ascii="黑体"/>
        </w:rPr>
      </w:pPr>
    </w:p>
    <w:p>
      <w:pPr>
        <w:pStyle w:val="3"/>
        <w:spacing w:before="9"/>
        <w:rPr>
          <w:rFonts w:ascii="黑体"/>
          <w:sz w:val="29"/>
        </w:rPr>
      </w:pPr>
    </w:p>
    <w:p>
      <w:pPr>
        <w:pStyle w:val="3"/>
        <w:tabs>
          <w:tab w:val="left" w:pos="2033"/>
        </w:tabs>
        <w:spacing w:line="350" w:lineRule="auto"/>
        <w:ind w:left="113" w:right="1312" w:firstLine="640"/>
      </w:pPr>
      <w:r>
        <w:rPr>
          <w:rFonts w:hint="eastAsia" w:ascii="黑体" w:eastAsia="黑体"/>
        </w:rPr>
        <w:t>第二条</w:t>
      </w:r>
      <w:r>
        <w:rPr>
          <w:rFonts w:hint="eastAsia" w:ascii="黑体" w:eastAsia="黑体"/>
        </w:rPr>
        <w:tab/>
      </w:r>
      <w:r>
        <w:t>本办法支持商业航天领域相关企业、民办非企业单位开展科技创新</w:t>
      </w:r>
      <w:r>
        <w:rPr>
          <w:spacing w:val="-53"/>
        </w:rPr>
        <w:t>、</w:t>
      </w:r>
      <w:r>
        <w:t>成果转化</w:t>
      </w:r>
      <w:r>
        <w:rPr>
          <w:spacing w:val="-56"/>
        </w:rPr>
        <w:t>、</w:t>
      </w:r>
      <w:r>
        <w:t>平台建设等</w:t>
      </w:r>
      <w:r>
        <w:rPr>
          <w:spacing w:val="-53"/>
        </w:rPr>
        <w:t>，</w:t>
      </w:r>
      <w:r>
        <w:t>促进产业高质量发展。</w:t>
      </w:r>
    </w:p>
    <w:p>
      <w:pPr>
        <w:pStyle w:val="3"/>
        <w:rPr>
          <w:sz w:val="47"/>
        </w:rPr>
      </w:pPr>
    </w:p>
    <w:p>
      <w:pPr>
        <w:pStyle w:val="3"/>
        <w:tabs>
          <w:tab w:val="left" w:pos="1279"/>
        </w:tabs>
        <w:ind w:right="1360"/>
        <w:jc w:val="center"/>
        <w:rPr>
          <w:rFonts w:hint="eastAsia" w:ascii="黑体" w:eastAsia="黑体"/>
        </w:rPr>
      </w:pPr>
      <w:r>
        <w:rPr>
          <w:rFonts w:hint="eastAsia" w:ascii="黑体" w:eastAsia="黑体"/>
        </w:rPr>
        <w:t>第三章</w:t>
      </w:r>
      <w:r>
        <w:rPr>
          <w:rFonts w:hint="eastAsia" w:ascii="黑体" w:eastAsia="黑体"/>
        </w:rPr>
        <w:tab/>
      </w:r>
      <w:r>
        <w:rPr>
          <w:rFonts w:hint="eastAsia" w:ascii="黑体" w:eastAsia="黑体"/>
        </w:rPr>
        <w:t>支持内容和标准</w:t>
      </w:r>
    </w:p>
    <w:p>
      <w:pPr>
        <w:pStyle w:val="3"/>
        <w:rPr>
          <w:rFonts w:ascii="黑体"/>
        </w:rPr>
      </w:pPr>
    </w:p>
    <w:p>
      <w:pPr>
        <w:pStyle w:val="3"/>
        <w:spacing w:before="9"/>
        <w:rPr>
          <w:rFonts w:ascii="黑体"/>
          <w:sz w:val="29"/>
        </w:rPr>
      </w:pPr>
    </w:p>
    <w:p>
      <w:pPr>
        <w:pStyle w:val="3"/>
        <w:spacing w:line="350" w:lineRule="auto"/>
        <w:ind w:left="113" w:right="1472" w:firstLine="640"/>
        <w:jc w:val="both"/>
      </w:pPr>
      <w:r>
        <w:rPr>
          <w:rFonts w:hint="eastAsia" w:ascii="黑体" w:eastAsia="黑体"/>
          <w:spacing w:val="37"/>
        </w:rPr>
        <w:t xml:space="preserve">第三条 </w:t>
      </w:r>
      <w:r>
        <w:rPr>
          <w:spacing w:val="-1"/>
        </w:rPr>
        <w:t>支持企业落地发展。自注册之日起三年内，对首次</w:t>
      </w:r>
      <w:r>
        <w:rPr>
          <w:w w:val="95"/>
        </w:rPr>
        <w:t xml:space="preserve">纳入规模以上统计范围的禁限目录外的企业，自该年起每年实现 正增长的企业，连续三年给予资金支持，每家企业每年支持资金 </w:t>
      </w:r>
      <w:r>
        <w:rPr>
          <w:spacing w:val="-14"/>
        </w:rPr>
        <w:t xml:space="preserve">最高不超过 </w:t>
      </w:r>
      <w:r>
        <w:t>1000</w:t>
      </w:r>
      <w:r>
        <w:rPr>
          <w:spacing w:val="-20"/>
        </w:rPr>
        <w:t xml:space="preserve"> 万元。</w:t>
      </w:r>
    </w:p>
    <w:p>
      <w:pPr>
        <w:pStyle w:val="3"/>
        <w:spacing w:before="5" w:line="350" w:lineRule="auto"/>
        <w:ind w:left="113" w:right="1472" w:firstLine="640"/>
        <w:jc w:val="both"/>
      </w:pPr>
      <w:r>
        <w:rPr>
          <w:rFonts w:hint="eastAsia" w:ascii="黑体" w:eastAsia="黑体"/>
          <w:spacing w:val="36"/>
        </w:rPr>
        <w:t xml:space="preserve">第四条 </w:t>
      </w:r>
      <w:r>
        <w:t>支持产业集聚发展。对自主研发能力强、具有关键</w:t>
      </w:r>
      <w:r>
        <w:rPr>
          <w:spacing w:val="-1"/>
          <w:w w:val="95"/>
        </w:rPr>
        <w:t>核心技术的企业，租赁具有合法合规手续的办公、研发、生产类</w:t>
      </w:r>
    </w:p>
    <w:p>
      <w:pPr>
        <w:pStyle w:val="3"/>
        <w:spacing w:line="408" w:lineRule="exact"/>
        <w:ind w:left="113"/>
        <w:jc w:val="both"/>
      </w:pPr>
      <w:r>
        <w:rPr>
          <w:position w:val="1"/>
        </w:rPr>
        <w:t>用房的</w:t>
      </w:r>
      <w:r>
        <w:rPr>
          <w:spacing w:val="-41"/>
          <w:position w:val="1"/>
        </w:rPr>
        <w:t>，</w:t>
      </w:r>
      <w:r>
        <w:rPr>
          <w:position w:val="1"/>
        </w:rPr>
        <w:t>经评审</w:t>
      </w:r>
      <w:r>
        <w:rPr>
          <w:spacing w:val="-39"/>
          <w:position w:val="1"/>
        </w:rPr>
        <w:t>，</w:t>
      </w:r>
      <w:r>
        <w:rPr>
          <w:position w:val="1"/>
        </w:rPr>
        <w:t>按照上年度租金的</w:t>
      </w:r>
      <w:r>
        <w:rPr>
          <w:spacing w:val="-88"/>
          <w:position w:val="1"/>
        </w:rPr>
        <w:t xml:space="preserve"> </w:t>
      </w:r>
      <w:r>
        <w:rPr>
          <w:spacing w:val="4"/>
          <w:position w:val="1"/>
        </w:rPr>
        <w:t>50</w:t>
      </w:r>
      <w:r>
        <w:rPr>
          <w:spacing w:val="9"/>
          <w:w w:val="99"/>
        </w:rPr>
        <w:drawing>
          <wp:inline distT="0" distB="0" distL="0" distR="0">
            <wp:extent cx="85725" cy="155575"/>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pic:cNvPicPr>
                  </pic:nvPicPr>
                  <pic:blipFill>
                    <a:blip r:embed="rId5" cstate="print"/>
                    <a:stretch>
                      <a:fillRect/>
                    </a:stretch>
                  </pic:blipFill>
                  <pic:spPr>
                    <a:xfrm>
                      <a:off x="0" y="0"/>
                      <a:ext cx="85725" cy="155575"/>
                    </a:xfrm>
                    <a:prstGeom prst="rect">
                      <a:avLst/>
                    </a:prstGeom>
                  </pic:spPr>
                </pic:pic>
              </a:graphicData>
            </a:graphic>
          </wp:inline>
        </w:drawing>
      </w:r>
      <w:r>
        <w:rPr>
          <w:w w:val="95"/>
          <w:position w:val="1"/>
        </w:rPr>
        <w:t>给予连续三年房租补贴，</w:t>
      </w:r>
    </w:p>
    <w:p>
      <w:pPr>
        <w:spacing w:after="0" w:line="408" w:lineRule="exact"/>
        <w:jc w:val="both"/>
        <w:sectPr>
          <w:pgSz w:w="11910" w:h="16840"/>
          <w:pgMar w:top="1580" w:right="0" w:bottom="1520" w:left="1360" w:header="0" w:footer="1321" w:gutter="0"/>
        </w:sectPr>
      </w:pPr>
    </w:p>
    <w:p>
      <w:pPr>
        <w:pStyle w:val="3"/>
        <w:spacing w:before="42"/>
        <w:ind w:left="113"/>
        <w:jc w:val="both"/>
      </w:pPr>
      <w:r>
        <w:pict>
          <v:shape id="_x0000_s1029" o:spid="_x0000_s1029" o:spt="136" type="#_x0000_t136" style="position:absolute;left:0pt;margin-left:14.05pt;margin-top:401.35pt;height:48pt;width:576pt;mso-position-horizontal-relative:page;mso-position-vertical-relative:page;rotation:20643840f;z-index:-251844608;mso-width-relative:page;mso-height-relative:page;" fillcolor="#AAAAAA" filled="t" stroked="f" coordsize="21600,21600">
            <v:path/>
            <v:fill on="t" opacity="32639f" focussize="0,0"/>
            <v:stroke on="f"/>
            <v:imagedata o:title=""/>
            <o:lock v:ext="edit"/>
            <v:textpath on="t" fitpath="t" trim="t" xscale="f" string="北京市大兴区人民政府公报" style="font-family:微软雅黑;font-size:48pt;v-text-align:center;"/>
          </v:shape>
        </w:pict>
      </w:r>
      <w:r>
        <w:t>每家企业每年支持资金最高不超过 500 万元。</w:t>
      </w:r>
    </w:p>
    <w:p>
      <w:pPr>
        <w:pStyle w:val="3"/>
        <w:spacing w:before="190" w:line="352" w:lineRule="auto"/>
        <w:ind w:left="113" w:right="1471" w:firstLine="640"/>
        <w:jc w:val="both"/>
      </w:pPr>
      <w:r>
        <w:rPr>
          <w:rFonts w:hint="eastAsia" w:ascii="黑体" w:eastAsia="黑体"/>
          <w:spacing w:val="36"/>
        </w:rPr>
        <w:t xml:space="preserve">第五条 </w:t>
      </w:r>
      <w:r>
        <w:t>支持科技成果转化。聚焦火箭、卫星、地面终端等航天领域产业化项目，对企业上年度新购置的研发和生产设备投</w:t>
      </w:r>
      <w:bookmarkStart w:id="0" w:name="第七条  支持参与制订行业标准。对上年度主导编制、发布实施的，促进区域经济发展的"/>
      <w:bookmarkEnd w:id="0"/>
      <w:r>
        <w:rPr>
          <w:spacing w:val="-8"/>
        </w:rPr>
        <w:t xml:space="preserve">资总额达到 </w:t>
      </w:r>
      <w:r>
        <w:t>1000</w:t>
      </w:r>
      <w:r>
        <w:rPr>
          <w:spacing w:val="-20"/>
        </w:rPr>
        <w:t xml:space="preserve"> 万元</w:t>
      </w:r>
      <w:r>
        <w:rPr>
          <w:spacing w:val="9"/>
        </w:rPr>
        <w:t>（</w:t>
      </w:r>
      <w:r>
        <w:rPr>
          <w:spacing w:val="12"/>
        </w:rPr>
        <w:t>含</w:t>
      </w:r>
      <w:r>
        <w:rPr>
          <w:spacing w:val="9"/>
        </w:rPr>
        <w:t>）</w:t>
      </w:r>
      <w:r>
        <w:rPr>
          <w:spacing w:val="1"/>
        </w:rPr>
        <w:t xml:space="preserve">以上的，按照设备投资总额的 </w:t>
      </w:r>
      <w:r>
        <w:rPr>
          <w:spacing w:val="4"/>
        </w:rPr>
        <w:t>20</w:t>
      </w:r>
      <w:r>
        <w:rPr>
          <w:spacing w:val="9"/>
          <w:w w:val="99"/>
        </w:rPr>
        <w:drawing>
          <wp:inline distT="0" distB="0" distL="0" distR="0">
            <wp:extent cx="85725" cy="155575"/>
            <wp:effectExtent l="0" t="0" r="0" b="0"/>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png"/>
                    <pic:cNvPicPr>
                      <a:picLocks noChangeAspect="1"/>
                    </pic:cNvPicPr>
                  </pic:nvPicPr>
                  <pic:blipFill>
                    <a:blip r:embed="rId5" cstate="print"/>
                    <a:stretch>
                      <a:fillRect/>
                    </a:stretch>
                  </pic:blipFill>
                  <pic:spPr>
                    <a:xfrm>
                      <a:off x="0" y="0"/>
                      <a:ext cx="85725" cy="155575"/>
                    </a:xfrm>
                    <a:prstGeom prst="rect">
                      <a:avLst/>
                    </a:prstGeom>
                  </pic:spPr>
                </pic:pic>
              </a:graphicData>
            </a:graphic>
          </wp:inline>
        </w:drawing>
      </w:r>
    </w:p>
    <w:p>
      <w:pPr>
        <w:pStyle w:val="3"/>
        <w:spacing w:line="402" w:lineRule="exact"/>
        <w:ind w:left="113"/>
        <w:jc w:val="both"/>
      </w:pPr>
      <w:r>
        <w:t>给予资金支持，每家企业每年支持资金最高不超过 2000 万元。</w:t>
      </w:r>
    </w:p>
    <w:p>
      <w:pPr>
        <w:pStyle w:val="3"/>
        <w:spacing w:before="190" w:line="350" w:lineRule="auto"/>
        <w:ind w:left="113" w:right="1468" w:firstLine="640"/>
        <w:jc w:val="both"/>
      </w:pPr>
      <w:r>
        <w:rPr>
          <w:rFonts w:hint="eastAsia" w:ascii="黑体" w:hAnsi="黑体" w:eastAsia="黑体"/>
          <w:spacing w:val="37"/>
        </w:rPr>
        <w:t xml:space="preserve">第六条 </w:t>
      </w:r>
      <w:r>
        <w:rPr>
          <w:spacing w:val="-1"/>
        </w:rPr>
        <w:t>支持建设创新平台。对上年度首次获得国家级创新中心、国家级重点实验室、国家级工程研究中心等资质认定的企</w:t>
      </w:r>
      <w:r>
        <w:rPr>
          <w:spacing w:val="-14"/>
        </w:rPr>
        <w:t xml:space="preserve">业，给予 </w:t>
      </w:r>
      <w:r>
        <w:t>1000</w:t>
      </w:r>
      <w:r>
        <w:rPr>
          <w:spacing w:val="-3"/>
        </w:rPr>
        <w:t xml:space="preserve"> 万元奖励；对上年度首次获得北京市级技术创新中心、工程研究中心等资质认定且促进区域经济发展的企业，给</w:t>
      </w:r>
      <w:r>
        <w:rPr>
          <w:spacing w:val="-45"/>
        </w:rPr>
        <w:t xml:space="preserve">予 </w:t>
      </w:r>
      <w:r>
        <w:t>200</w:t>
      </w:r>
      <w:r>
        <w:rPr>
          <w:spacing w:val="-10"/>
        </w:rPr>
        <w:t xml:space="preserve"> 万元奖励；对上年度首次获得国家级、市级专精特新“小</w:t>
      </w:r>
      <w:r>
        <w:rPr>
          <w:spacing w:val="-14"/>
        </w:rPr>
        <w:t xml:space="preserve">巨人”企业认定的企业，分别给予 </w:t>
      </w:r>
      <w:r>
        <w:t>100</w:t>
      </w:r>
      <w:r>
        <w:rPr>
          <w:spacing w:val="-27"/>
        </w:rPr>
        <w:t xml:space="preserve"> 万元、</w:t>
      </w:r>
      <w:r>
        <w:t>50</w:t>
      </w:r>
      <w:r>
        <w:rPr>
          <w:spacing w:val="-14"/>
        </w:rPr>
        <w:t xml:space="preserve"> 万元奖励，实施晋档补差；对上年度首次获得市级专精特新企业认定的企业，给</w:t>
      </w:r>
      <w:r>
        <w:rPr>
          <w:spacing w:val="-47"/>
        </w:rPr>
        <w:t xml:space="preserve">予 </w:t>
      </w:r>
      <w:r>
        <w:t>20</w:t>
      </w:r>
      <w:r>
        <w:rPr>
          <w:spacing w:val="-15"/>
        </w:rPr>
        <w:t xml:space="preserve"> 万元奖励。</w:t>
      </w:r>
    </w:p>
    <w:p>
      <w:pPr>
        <w:pStyle w:val="3"/>
        <w:tabs>
          <w:tab w:val="left" w:pos="2033"/>
        </w:tabs>
        <w:spacing w:before="11" w:line="350" w:lineRule="auto"/>
        <w:ind w:left="113" w:right="1473" w:firstLine="640"/>
      </w:pPr>
      <w:r>
        <w:rPr>
          <w:rFonts w:hint="eastAsia" w:ascii="黑体" w:eastAsia="黑体"/>
        </w:rPr>
        <w:t>第七条</w:t>
      </w:r>
      <w:r>
        <w:rPr>
          <w:rFonts w:hint="eastAsia" w:ascii="黑体" w:eastAsia="黑体"/>
        </w:rPr>
        <w:tab/>
      </w:r>
      <w:r>
        <w:t>支持参与制订行业标准。对上年度主导编</w:t>
      </w:r>
      <w:r>
        <w:rPr>
          <w:spacing w:val="3"/>
        </w:rPr>
        <w:t>制</w:t>
      </w:r>
      <w:r>
        <w:t>、发</w:t>
      </w:r>
      <w:r>
        <w:rPr>
          <w:spacing w:val="-12"/>
        </w:rPr>
        <w:t>布</w:t>
      </w:r>
      <w:r>
        <w:rPr>
          <w:w w:val="95"/>
        </w:rPr>
        <w:t>实施的，促进区域经济发展的商业航天国际标</w:t>
      </w:r>
      <w:r>
        <w:rPr>
          <w:spacing w:val="3"/>
          <w:w w:val="95"/>
        </w:rPr>
        <w:t>准</w:t>
      </w:r>
      <w:r>
        <w:rPr>
          <w:w w:val="95"/>
        </w:rPr>
        <w:t xml:space="preserve">、国家标准、行 </w:t>
      </w:r>
      <w:r>
        <w:t>业（或团体、地方、军用）标准的企业</w:t>
      </w:r>
      <w:r>
        <w:rPr>
          <w:spacing w:val="-3"/>
        </w:rPr>
        <w:t>或</w:t>
      </w:r>
      <w:r>
        <w:t>机构，分</w:t>
      </w:r>
      <w:r>
        <w:rPr>
          <w:spacing w:val="-3"/>
        </w:rPr>
        <w:t>别</w:t>
      </w:r>
      <w:r>
        <w:t>给予</w:t>
      </w:r>
      <w:r>
        <w:rPr>
          <w:spacing w:val="-117"/>
        </w:rPr>
        <w:t xml:space="preserve"> </w:t>
      </w:r>
      <w:r>
        <w:t>100</w:t>
      </w:r>
      <w:r>
        <w:rPr>
          <w:spacing w:val="-114"/>
        </w:rPr>
        <w:t xml:space="preserve"> </w:t>
      </w:r>
      <w:r>
        <w:t>万元、50</w:t>
      </w:r>
      <w:r>
        <w:rPr>
          <w:spacing w:val="-83"/>
        </w:rPr>
        <w:t xml:space="preserve"> </w:t>
      </w:r>
      <w:r>
        <w:t>万</w:t>
      </w:r>
      <w:r>
        <w:rPr>
          <w:spacing w:val="-3"/>
        </w:rPr>
        <w:t>元</w:t>
      </w:r>
      <w:r>
        <w:t>和</w:t>
      </w:r>
      <w:r>
        <w:rPr>
          <w:spacing w:val="-86"/>
        </w:rPr>
        <w:t xml:space="preserve"> </w:t>
      </w:r>
      <w:r>
        <w:t>20</w:t>
      </w:r>
      <w:r>
        <w:rPr>
          <w:spacing w:val="-83"/>
        </w:rPr>
        <w:t xml:space="preserve"> </w:t>
      </w:r>
      <w:r>
        <w:t>万</w:t>
      </w:r>
      <w:r>
        <w:rPr>
          <w:spacing w:val="-3"/>
        </w:rPr>
        <w:t>元</w:t>
      </w:r>
      <w:r>
        <w:t>一次</w:t>
      </w:r>
      <w:r>
        <w:rPr>
          <w:spacing w:val="-3"/>
        </w:rPr>
        <w:t>性</w:t>
      </w:r>
      <w:r>
        <w:t>奖励。</w:t>
      </w:r>
    </w:p>
    <w:p>
      <w:pPr>
        <w:pStyle w:val="3"/>
        <w:spacing w:before="6" w:line="350" w:lineRule="auto"/>
        <w:ind w:left="113" w:right="1472" w:firstLine="640"/>
        <w:jc w:val="both"/>
      </w:pPr>
      <w:r>
        <w:rPr>
          <w:rFonts w:hint="eastAsia" w:ascii="黑体" w:eastAsia="黑体"/>
          <w:spacing w:val="37"/>
        </w:rPr>
        <w:t xml:space="preserve">第八条 </w:t>
      </w:r>
      <w:r>
        <w:rPr>
          <w:spacing w:val="-1"/>
        </w:rPr>
        <w:t>支持多元融资发展。对上年度通过银行贷款或融资</w:t>
      </w:r>
      <w:r>
        <w:rPr>
          <w:spacing w:val="-1"/>
          <w:w w:val="95"/>
        </w:rPr>
        <w:t xml:space="preserve">租赁方式扩大产能、提升研发创新能力的企业，按照一年期银行 </w:t>
      </w:r>
      <w:r>
        <w:rPr>
          <w:spacing w:val="-21"/>
        </w:rPr>
        <w:t xml:space="preserve">贷款基准利率，给予最高不超过三年，每家企业每年给予最高 </w:t>
      </w:r>
      <w:r>
        <w:t xml:space="preserve">500 </w:t>
      </w:r>
      <w:r>
        <w:rPr>
          <w:spacing w:val="-1"/>
        </w:rPr>
        <w:t>万元的贴息支持。设立商业航天专项基金，支持火箭和卫星研发</w:t>
      </w:r>
      <w:r>
        <w:rPr>
          <w:w w:val="95"/>
        </w:rPr>
        <w:t>及总装总测、空天关键零部件、新材料、测试检测设备、航天技</w:t>
      </w:r>
    </w:p>
    <w:p>
      <w:pPr>
        <w:pStyle w:val="3"/>
        <w:spacing w:before="42" w:line="352" w:lineRule="auto"/>
        <w:ind w:left="113" w:right="1391" w:firstLine="640"/>
        <w:jc w:val="both"/>
      </w:pPr>
      <w:r>
        <w:t>术应用等领域。（第五条和第八条不重复支持）</w:t>
      </w:r>
    </w:p>
    <w:p>
      <w:pPr>
        <w:pStyle w:val="3"/>
        <w:spacing w:before="42" w:line="352" w:lineRule="auto"/>
        <w:ind w:left="113" w:right="1391" w:firstLine="640"/>
        <w:jc w:val="both"/>
      </w:pPr>
      <w:r>
        <w:pict>
          <v:shape id="_x0000_s1030" o:spid="_x0000_s1030" o:spt="136" type="#_x0000_t136" style="position:absolute;left:0pt;margin-left:14.05pt;margin-top:401.35pt;height:48pt;width:576pt;mso-position-horizontal-relative:page;mso-position-vertical-relative:page;rotation:20643840f;z-index:-251843584;mso-width-relative:page;mso-height-relative:page;" fillcolor="#AAAAAA" filled="t" stroked="f" coordsize="21600,21600">
            <v:path/>
            <v:fill on="t" opacity="32639f" focussize="0,0"/>
            <v:stroke on="f"/>
            <v:imagedata o:title=""/>
            <o:lock v:ext="edit"/>
            <v:textpath on="t" fitpath="t" trim="t" xscale="f" string="北京市大兴区人民政府公报" style="font-family:微软雅黑;font-size:48pt;v-text-align:center;"/>
          </v:shape>
        </w:pict>
      </w:r>
      <w:r>
        <w:rPr>
          <w:rFonts w:hint="eastAsia" w:ascii="黑体" w:eastAsia="黑体"/>
          <w:spacing w:val="37"/>
        </w:rPr>
        <w:t xml:space="preserve">第九条 </w:t>
      </w:r>
      <w:r>
        <w:t>支持建设公共服务平台。鼓励服务机构或企业开放空间、共享设备，为商业航天企业提供实验、检验检测等公共服务，按照上年度签订合同实际交易额的</w:t>
      </w:r>
      <w:r>
        <w:rPr>
          <w:spacing w:val="-86"/>
        </w:rPr>
        <w:t xml:space="preserve"> </w:t>
      </w:r>
      <w:r>
        <w:rPr>
          <w:spacing w:val="9"/>
        </w:rPr>
        <w:t>5</w:t>
      </w:r>
      <w:r>
        <w:rPr>
          <w:spacing w:val="9"/>
          <w:w w:val="99"/>
        </w:rPr>
        <w:drawing>
          <wp:inline distT="0" distB="0" distL="0" distR="0">
            <wp:extent cx="85725" cy="155575"/>
            <wp:effectExtent l="0" t="0" r="0" b="0"/>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png"/>
                    <pic:cNvPicPr>
                      <a:picLocks noChangeAspect="1"/>
                    </pic:cNvPicPr>
                  </pic:nvPicPr>
                  <pic:blipFill>
                    <a:blip r:embed="rId5" cstate="print"/>
                    <a:stretch>
                      <a:fillRect/>
                    </a:stretch>
                  </pic:blipFill>
                  <pic:spPr>
                    <a:xfrm>
                      <a:off x="0" y="0"/>
                      <a:ext cx="85725" cy="155575"/>
                    </a:xfrm>
                    <a:prstGeom prst="rect">
                      <a:avLst/>
                    </a:prstGeom>
                  </pic:spPr>
                </pic:pic>
              </a:graphicData>
            </a:graphic>
          </wp:inline>
        </w:drawing>
      </w:r>
      <w:r>
        <w:t>给予资源提供方奖励，</w:t>
      </w:r>
    </w:p>
    <w:p>
      <w:pPr>
        <w:pStyle w:val="3"/>
        <w:spacing w:line="350" w:lineRule="auto"/>
        <w:ind w:left="113" w:right="1472"/>
        <w:jc w:val="both"/>
      </w:pPr>
      <w:r>
        <w:rPr>
          <w:spacing w:val="-1"/>
        </w:rPr>
        <w:t xml:space="preserve">每家服务机构或企业每年支持资金最高不超过 </w:t>
      </w:r>
      <w:r>
        <w:t>200</w:t>
      </w:r>
      <w:r>
        <w:rPr>
          <w:spacing w:val="-58"/>
        </w:rPr>
        <w:t xml:space="preserve"> 万元。</w:t>
      </w:r>
      <w:r>
        <w:rPr>
          <w:spacing w:val="7"/>
        </w:rPr>
        <w:t>（</w:t>
      </w:r>
      <w:r>
        <w:rPr>
          <w:spacing w:val="3"/>
        </w:rPr>
        <w:t>第五条和第九条不重复支持）</w:t>
      </w:r>
    </w:p>
    <w:p>
      <w:pPr>
        <w:pStyle w:val="3"/>
        <w:spacing w:line="350" w:lineRule="auto"/>
        <w:ind w:left="113" w:right="1473" w:firstLine="640"/>
        <w:jc w:val="both"/>
      </w:pPr>
      <w:r>
        <w:rPr>
          <w:rFonts w:hint="eastAsia" w:ascii="黑体" w:eastAsia="黑体"/>
        </w:rPr>
        <w:t xml:space="preserve">第十条 </w:t>
      </w:r>
      <w:r>
        <w:t>支持降低创新发展风险。对上年度获得市级商业航</w:t>
      </w:r>
      <w:r>
        <w:rPr>
          <w:w w:val="95"/>
        </w:rPr>
        <w:t>天发射保费补贴的企业，按照其所获得的市级政策支持额度给予</w:t>
      </w:r>
      <w:r>
        <w:t>1:1 区级配套支持。</w:t>
      </w:r>
    </w:p>
    <w:p>
      <w:pPr>
        <w:pStyle w:val="3"/>
        <w:tabs>
          <w:tab w:val="left" w:pos="2352"/>
        </w:tabs>
        <w:spacing w:line="352" w:lineRule="auto"/>
        <w:ind w:left="113" w:right="1312" w:firstLine="640"/>
      </w:pPr>
      <w:r>
        <w:rPr>
          <w:rFonts w:hint="eastAsia" w:ascii="黑体" w:eastAsia="黑体"/>
        </w:rPr>
        <w:t>第十一条</w:t>
      </w:r>
      <w:r>
        <w:rPr>
          <w:rFonts w:hint="eastAsia" w:ascii="黑体" w:eastAsia="黑体"/>
        </w:rPr>
        <w:tab/>
      </w:r>
      <w:r>
        <w:t>支持开展高水平行业交流活</w:t>
      </w:r>
      <w:r>
        <w:rPr>
          <w:spacing w:val="3"/>
        </w:rPr>
        <w:t>动</w:t>
      </w:r>
      <w:r>
        <w:rPr>
          <w:spacing w:val="-3"/>
        </w:rPr>
        <w:t>。</w:t>
      </w:r>
      <w:r>
        <w:t>鼓励商业航天企</w:t>
      </w:r>
      <w:r>
        <w:rPr>
          <w:w w:val="95"/>
        </w:rPr>
        <w:t>业</w:t>
      </w:r>
      <w:r>
        <w:rPr>
          <w:spacing w:val="-39"/>
          <w:w w:val="95"/>
        </w:rPr>
        <w:t>、</w:t>
      </w:r>
      <w:r>
        <w:rPr>
          <w:w w:val="95"/>
        </w:rPr>
        <w:t>高校院所</w:t>
      </w:r>
      <w:r>
        <w:rPr>
          <w:spacing w:val="-39"/>
          <w:w w:val="95"/>
        </w:rPr>
        <w:t>、</w:t>
      </w:r>
      <w:r>
        <w:rPr>
          <w:w w:val="95"/>
        </w:rPr>
        <w:t>科研机构等</w:t>
      </w:r>
      <w:r>
        <w:rPr>
          <w:spacing w:val="-39"/>
          <w:w w:val="95"/>
        </w:rPr>
        <w:t>，</w:t>
      </w:r>
      <w:r>
        <w:rPr>
          <w:w w:val="95"/>
        </w:rPr>
        <w:t>联合发起组建产业联盟</w:t>
      </w:r>
      <w:r>
        <w:rPr>
          <w:spacing w:val="-41"/>
          <w:w w:val="95"/>
        </w:rPr>
        <w:t>、</w:t>
      </w:r>
      <w:r>
        <w:rPr>
          <w:w w:val="95"/>
        </w:rPr>
        <w:t xml:space="preserve">行业协会。 </w:t>
      </w:r>
      <w:r>
        <w:t>鼓励各类机构举办国际、全国性的行业交流活</w:t>
      </w:r>
      <w:r>
        <w:rPr>
          <w:spacing w:val="3"/>
        </w:rPr>
        <w:t>动</w:t>
      </w:r>
      <w:r>
        <w:t>，具有较大影响力且促进区域发展的企</w:t>
      </w:r>
      <w:r>
        <w:rPr>
          <w:spacing w:val="3"/>
        </w:rPr>
        <w:t>业</w:t>
      </w:r>
      <w:r>
        <w:t>、机构，经评审，按照上年度活动费用的</w:t>
      </w:r>
      <w:r>
        <w:rPr>
          <w:spacing w:val="-81"/>
        </w:rPr>
        <w:t xml:space="preserve"> </w:t>
      </w:r>
      <w:r>
        <w:rPr>
          <w:spacing w:val="5"/>
        </w:rPr>
        <w:t>50</w:t>
      </w:r>
      <w:r>
        <w:rPr>
          <w:spacing w:val="11"/>
          <w:w w:val="99"/>
        </w:rPr>
        <w:drawing>
          <wp:inline distT="0" distB="0" distL="0" distR="0">
            <wp:extent cx="85725" cy="155575"/>
            <wp:effectExtent l="0" t="0" r="0" b="0"/>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png"/>
                    <pic:cNvPicPr>
                      <a:picLocks noChangeAspect="1"/>
                    </pic:cNvPicPr>
                  </pic:nvPicPr>
                  <pic:blipFill>
                    <a:blip r:embed="rId5" cstate="print"/>
                    <a:stretch>
                      <a:fillRect/>
                    </a:stretch>
                  </pic:blipFill>
                  <pic:spPr>
                    <a:xfrm>
                      <a:off x="0" y="0"/>
                      <a:ext cx="85725" cy="155575"/>
                    </a:xfrm>
                    <a:prstGeom prst="rect">
                      <a:avLst/>
                    </a:prstGeom>
                  </pic:spPr>
                </pic:pic>
              </a:graphicData>
            </a:graphic>
          </wp:inline>
        </w:drawing>
      </w:r>
      <w:r>
        <w:t>给予支持，每家机构每年支持资金最高不超过</w:t>
      </w:r>
      <w:r>
        <w:rPr>
          <w:spacing w:val="-81"/>
        </w:rPr>
        <w:t xml:space="preserve"> </w:t>
      </w:r>
      <w:r>
        <w:t>100</w:t>
      </w:r>
      <w:r>
        <w:rPr>
          <w:spacing w:val="-81"/>
        </w:rPr>
        <w:t xml:space="preserve"> </w:t>
      </w:r>
      <w:r>
        <w:t>万元。</w:t>
      </w:r>
    </w:p>
    <w:p>
      <w:pPr>
        <w:pStyle w:val="3"/>
        <w:tabs>
          <w:tab w:val="left" w:pos="2352"/>
        </w:tabs>
        <w:spacing w:line="396" w:lineRule="exact"/>
        <w:ind w:left="754"/>
      </w:pPr>
      <w:r>
        <w:rPr>
          <w:rFonts w:hint="eastAsia" w:ascii="黑体" w:hAnsi="黑体" w:eastAsia="黑体"/>
        </w:rPr>
        <w:t>第十二条</w:t>
      </w:r>
      <w:r>
        <w:rPr>
          <w:rFonts w:hint="eastAsia" w:ascii="黑体" w:hAnsi="黑体" w:eastAsia="黑体"/>
        </w:rPr>
        <w:tab/>
      </w:r>
      <w:r>
        <w:t>全方位做好服务保障。发挥“两区”政策叠加优</w:t>
      </w:r>
    </w:p>
    <w:p>
      <w:pPr>
        <w:pStyle w:val="3"/>
        <w:spacing w:before="189" w:line="350" w:lineRule="auto"/>
        <w:ind w:left="113" w:right="1471"/>
        <w:jc w:val="both"/>
      </w:pPr>
      <w:r>
        <w:rPr>
          <w:w w:val="95"/>
        </w:rPr>
        <w:t xml:space="preserve">势，积极向国家、市级有关部门争取政策突破、先行示范。支持 </w:t>
      </w:r>
      <w:r>
        <w:t>企业申报大兴区“新国门”领军人才、优秀青年人才等政策，对人才及企业、机构依法依规在医疗服务、子女入学、金融上市、住房保障等方面给予精准服务。</w:t>
      </w:r>
    </w:p>
    <w:p>
      <w:pPr>
        <w:pStyle w:val="3"/>
        <w:spacing w:before="3"/>
        <w:rPr>
          <w:sz w:val="47"/>
        </w:rPr>
      </w:pPr>
    </w:p>
    <w:p>
      <w:pPr>
        <w:pStyle w:val="3"/>
        <w:tabs>
          <w:tab w:val="left" w:pos="4591"/>
        </w:tabs>
        <w:ind w:left="3312"/>
        <w:rPr>
          <w:rFonts w:hint="eastAsia" w:ascii="黑体" w:eastAsia="黑体"/>
        </w:rPr>
      </w:pPr>
      <w:r>
        <w:rPr>
          <w:rFonts w:hint="eastAsia" w:ascii="黑体" w:eastAsia="黑体"/>
        </w:rPr>
        <w:t>第四章</w:t>
      </w:r>
      <w:r>
        <w:rPr>
          <w:rFonts w:hint="eastAsia" w:ascii="黑体" w:eastAsia="黑体"/>
        </w:rPr>
        <w:tab/>
      </w:r>
      <w:r>
        <w:rPr>
          <w:rFonts w:hint="eastAsia" w:ascii="黑体" w:eastAsia="黑体"/>
        </w:rPr>
        <w:t>工作流程</w:t>
      </w:r>
    </w:p>
    <w:p>
      <w:pPr>
        <w:pStyle w:val="3"/>
        <w:spacing w:before="11"/>
        <w:rPr>
          <w:rFonts w:ascii="黑体"/>
          <w:sz w:val="46"/>
        </w:rPr>
      </w:pPr>
    </w:p>
    <w:p>
      <w:pPr>
        <w:pStyle w:val="3"/>
        <w:numPr>
          <w:numId w:val="0"/>
        </w:numPr>
        <w:spacing w:before="42" w:line="350" w:lineRule="auto"/>
        <w:ind w:right="1469" w:rightChars="0" w:firstLine="960" w:firstLineChars="300"/>
        <w:jc w:val="both"/>
      </w:pPr>
      <w:r>
        <w:rPr>
          <w:rFonts w:hint="eastAsia" w:ascii="黑体" w:hAnsi="黑体" w:eastAsia="黑体"/>
        </w:rPr>
        <w:t>第十</w:t>
      </w:r>
      <w:r>
        <w:rPr>
          <w:rFonts w:hint="eastAsia" w:ascii="黑体" w:hAnsi="黑体" w:eastAsia="黑体"/>
          <w:lang w:eastAsia="zh-CN"/>
        </w:rPr>
        <w:t>三</w:t>
      </w:r>
      <w:r>
        <w:rPr>
          <w:rFonts w:hint="eastAsia" w:ascii="黑体" w:hAnsi="黑体" w:eastAsia="黑体"/>
        </w:rPr>
        <w:t>条</w:t>
      </w:r>
      <w:r>
        <w:rPr>
          <w:rFonts w:hint="eastAsia" w:ascii="黑体" w:hAnsi="黑体" w:eastAsia="黑体"/>
          <w:lang w:val="en-US" w:eastAsia="zh-CN"/>
        </w:rPr>
        <w:t xml:space="preserve">  </w:t>
      </w:r>
      <w:r>
        <w:t>项目征集</w:t>
      </w:r>
      <w:r>
        <w:rPr>
          <w:spacing w:val="-3"/>
        </w:rPr>
        <w:t>。</w:t>
      </w:r>
      <w:r>
        <w:t>由区经济和信息化局牵头负责每年</w:t>
      </w:r>
      <w:r>
        <w:rPr>
          <w:spacing w:val="-11"/>
        </w:rPr>
        <w:t>面</w:t>
      </w:r>
      <w:r>
        <w:t>向全区征集相关项目。</w:t>
      </w:r>
    </w:p>
    <w:p>
      <w:pPr>
        <w:pStyle w:val="3"/>
        <w:numPr>
          <w:numId w:val="0"/>
        </w:numPr>
        <w:spacing w:before="42" w:line="350" w:lineRule="auto"/>
        <w:ind w:right="1469" w:rightChars="0" w:firstLine="640" w:firstLineChars="200"/>
        <w:jc w:val="both"/>
      </w:pPr>
      <w:bookmarkStart w:id="1" w:name="_GoBack"/>
      <w:bookmarkEnd w:id="1"/>
      <w:r>
        <w:pict>
          <v:shape id="_x0000_s1031" o:spid="_x0000_s1031" o:spt="136" type="#_x0000_t136" style="position:absolute;left:0pt;margin-left:14.05pt;margin-top:401.35pt;height:48pt;width:576pt;mso-position-horizontal-relative:page;mso-position-vertical-relative:page;rotation:20643840f;z-index:-251842560;mso-width-relative:page;mso-height-relative:page;" fillcolor="#AAAAAA" filled="t" stroked="f" coordsize="21600,21600">
            <v:path/>
            <v:fill on="t" opacity="32639f" focussize="0,0"/>
            <v:stroke on="f"/>
            <v:imagedata o:title=""/>
            <o:lock v:ext="edit"/>
            <v:textpath on="t" fitpath="t" trim="t" xscale="f" string="北京市大兴区人民政府公报" style="font-family:微软雅黑;font-size:48pt;v-text-align:center;"/>
          </v:shape>
        </w:pict>
      </w:r>
      <w:r>
        <w:rPr>
          <w:rFonts w:hint="eastAsia" w:ascii="黑体" w:eastAsia="黑体"/>
          <w:spacing w:val="29"/>
        </w:rPr>
        <w:t xml:space="preserve">第十四条 </w:t>
      </w:r>
      <w:r>
        <w:t>项目审核兑现。区经济和信息化局负责组织第三方专业机构或专家协助开展项目评审，并按照既定程序在区人民</w:t>
      </w:r>
      <w:r>
        <w:rPr>
          <w:spacing w:val="-7"/>
        </w:rPr>
        <w:t xml:space="preserve">政府网站公示，公示期不少于 </w:t>
      </w:r>
      <w:r>
        <w:t>5</w:t>
      </w:r>
      <w:r>
        <w:rPr>
          <w:spacing w:val="-10"/>
        </w:rPr>
        <w:t xml:space="preserve"> 个工作日。公示期结束后，对公</w:t>
      </w:r>
      <w:r>
        <w:rPr>
          <w:spacing w:val="-9"/>
          <w:w w:val="95"/>
        </w:rPr>
        <w:t xml:space="preserve">示无异议的项目予以支持。任何单位和个人如持有异议，应当在 </w:t>
      </w:r>
      <w:r>
        <w:rPr>
          <w:spacing w:val="11"/>
          <w:w w:val="95"/>
        </w:rPr>
        <w:t xml:space="preserve">公示期内提交书面意见和有关证据，逾期视为对公示内容无异 </w:t>
      </w:r>
      <w:r>
        <w:rPr>
          <w:spacing w:val="11"/>
        </w:rPr>
        <w:t>议，且不予受理。</w:t>
      </w:r>
    </w:p>
    <w:p>
      <w:pPr>
        <w:pStyle w:val="3"/>
        <w:spacing w:before="9" w:line="350" w:lineRule="auto"/>
        <w:ind w:left="113" w:right="1471" w:firstLine="640"/>
        <w:jc w:val="both"/>
      </w:pPr>
      <w:r>
        <w:rPr>
          <w:rFonts w:hint="eastAsia" w:ascii="黑体" w:eastAsia="黑体"/>
          <w:spacing w:val="30"/>
        </w:rPr>
        <w:t xml:space="preserve">第十五条 </w:t>
      </w:r>
      <w:r>
        <w:t>监督与管理。对在审计与监督检查中发现存在严</w:t>
      </w:r>
      <w:r>
        <w:rPr>
          <w:w w:val="95"/>
        </w:rPr>
        <w:t xml:space="preserve">重问题，经核查违规的企业，自发现之日起，已获得政策资金支 </w:t>
      </w:r>
      <w:r>
        <w:t>持的单位三年内不得申报本办法，并限期返还已获得的资金。</w:t>
      </w:r>
    </w:p>
    <w:p>
      <w:pPr>
        <w:pStyle w:val="3"/>
        <w:spacing w:before="1"/>
        <w:rPr>
          <w:sz w:val="47"/>
        </w:rPr>
      </w:pPr>
    </w:p>
    <w:p>
      <w:pPr>
        <w:pStyle w:val="3"/>
        <w:tabs>
          <w:tab w:val="left" w:pos="4752"/>
          <w:tab w:val="left" w:pos="5393"/>
        </w:tabs>
        <w:ind w:left="3473"/>
        <w:rPr>
          <w:rFonts w:hint="eastAsia" w:ascii="黑体" w:eastAsia="黑体"/>
        </w:rPr>
      </w:pPr>
      <w:r>
        <w:rPr>
          <w:rFonts w:hint="eastAsia" w:ascii="黑体" w:eastAsia="黑体"/>
        </w:rPr>
        <w:t>第五章</w:t>
      </w:r>
      <w:r>
        <w:rPr>
          <w:rFonts w:hint="eastAsia" w:ascii="黑体" w:eastAsia="黑体"/>
        </w:rPr>
        <w:tab/>
      </w:r>
      <w:r>
        <w:rPr>
          <w:rFonts w:hint="eastAsia" w:ascii="黑体" w:eastAsia="黑体"/>
        </w:rPr>
        <w:t>附</w:t>
      </w:r>
      <w:r>
        <w:rPr>
          <w:rFonts w:hint="eastAsia" w:ascii="黑体" w:eastAsia="黑体"/>
        </w:rPr>
        <w:tab/>
      </w:r>
      <w:r>
        <w:rPr>
          <w:rFonts w:hint="eastAsia" w:ascii="黑体" w:eastAsia="黑体"/>
        </w:rPr>
        <w:t>则</w:t>
      </w:r>
    </w:p>
    <w:p>
      <w:pPr>
        <w:pStyle w:val="3"/>
        <w:rPr>
          <w:rFonts w:ascii="黑体"/>
        </w:rPr>
      </w:pPr>
    </w:p>
    <w:p>
      <w:pPr>
        <w:pStyle w:val="3"/>
        <w:spacing w:before="9"/>
        <w:rPr>
          <w:rFonts w:ascii="黑体"/>
          <w:sz w:val="29"/>
        </w:rPr>
      </w:pPr>
    </w:p>
    <w:p>
      <w:pPr>
        <w:pStyle w:val="3"/>
        <w:tabs>
          <w:tab w:val="left" w:pos="2352"/>
        </w:tabs>
        <w:spacing w:line="350" w:lineRule="auto"/>
        <w:ind w:left="113" w:right="1473" w:firstLine="640"/>
      </w:pPr>
      <w:r>
        <w:rPr>
          <w:rFonts w:hint="eastAsia" w:ascii="黑体" w:eastAsia="黑体"/>
        </w:rPr>
        <w:t>第十六条</w:t>
      </w:r>
      <w:r>
        <w:rPr>
          <w:rFonts w:hint="eastAsia" w:ascii="黑体" w:eastAsia="黑体"/>
        </w:rPr>
        <w:tab/>
      </w:r>
      <w:r>
        <w:t>本办法由区经济和信息化局负责解</w:t>
      </w:r>
      <w:r>
        <w:rPr>
          <w:spacing w:val="3"/>
        </w:rPr>
        <w:t>释</w:t>
      </w:r>
      <w:r>
        <w:rPr>
          <w:spacing w:val="-3"/>
        </w:rPr>
        <w:t>，</w:t>
      </w:r>
      <w:r>
        <w:t>组织实</w:t>
      </w:r>
      <w:r>
        <w:rPr>
          <w:spacing w:val="-11"/>
        </w:rPr>
        <w:t>施</w:t>
      </w:r>
      <w:r>
        <w:t>并制定实施细则。</w:t>
      </w:r>
    </w:p>
    <w:p>
      <w:pPr>
        <w:pStyle w:val="3"/>
        <w:tabs>
          <w:tab w:val="left" w:pos="2429"/>
        </w:tabs>
        <w:spacing w:before="3" w:line="350" w:lineRule="auto"/>
        <w:ind w:left="113" w:right="1470" w:firstLine="640"/>
      </w:pPr>
      <w:r>
        <w:rPr>
          <w:rFonts w:hint="eastAsia" w:ascii="黑体" w:eastAsia="黑体"/>
          <w:spacing w:val="14"/>
        </w:rPr>
        <w:t>第</w:t>
      </w:r>
      <w:r>
        <w:rPr>
          <w:rFonts w:hint="eastAsia" w:ascii="黑体" w:eastAsia="黑体"/>
          <w:spacing w:val="12"/>
        </w:rPr>
        <w:t>十</w:t>
      </w:r>
      <w:r>
        <w:rPr>
          <w:rFonts w:hint="eastAsia" w:ascii="黑体" w:eastAsia="黑体"/>
          <w:spacing w:val="14"/>
        </w:rPr>
        <w:t>七</w:t>
      </w:r>
      <w:r>
        <w:rPr>
          <w:rFonts w:hint="eastAsia" w:ascii="黑体" w:eastAsia="黑体"/>
        </w:rPr>
        <w:t>条</w:t>
      </w:r>
      <w:r>
        <w:rPr>
          <w:rFonts w:hint="eastAsia" w:ascii="黑体" w:eastAsia="黑体"/>
        </w:rPr>
        <w:tab/>
      </w:r>
      <w:r>
        <w:rPr>
          <w:spacing w:val="14"/>
          <w:w w:val="95"/>
        </w:rPr>
        <w:t>同</w:t>
      </w:r>
      <w:r>
        <w:rPr>
          <w:spacing w:val="12"/>
          <w:w w:val="95"/>
        </w:rPr>
        <w:t>一</w:t>
      </w:r>
      <w:r>
        <w:rPr>
          <w:spacing w:val="14"/>
          <w:w w:val="95"/>
        </w:rPr>
        <w:t>企业</w:t>
      </w:r>
      <w:r>
        <w:rPr>
          <w:spacing w:val="12"/>
          <w:w w:val="95"/>
        </w:rPr>
        <w:t>的</w:t>
      </w:r>
      <w:r>
        <w:rPr>
          <w:spacing w:val="14"/>
          <w:w w:val="95"/>
        </w:rPr>
        <w:t>同</w:t>
      </w:r>
      <w:r>
        <w:rPr>
          <w:spacing w:val="12"/>
          <w:w w:val="95"/>
        </w:rPr>
        <w:t>一</w:t>
      </w:r>
      <w:r>
        <w:rPr>
          <w:spacing w:val="14"/>
          <w:w w:val="95"/>
        </w:rPr>
        <w:t>项目</w:t>
      </w:r>
      <w:r>
        <w:rPr>
          <w:spacing w:val="12"/>
          <w:w w:val="95"/>
        </w:rPr>
        <w:t>同</w:t>
      </w:r>
      <w:r>
        <w:rPr>
          <w:spacing w:val="14"/>
          <w:w w:val="95"/>
        </w:rPr>
        <w:t>时符</w:t>
      </w:r>
      <w:r>
        <w:rPr>
          <w:spacing w:val="12"/>
          <w:w w:val="95"/>
        </w:rPr>
        <w:t>合</w:t>
      </w:r>
      <w:r>
        <w:rPr>
          <w:spacing w:val="14"/>
          <w:w w:val="95"/>
        </w:rPr>
        <w:t>大</w:t>
      </w:r>
      <w:r>
        <w:rPr>
          <w:spacing w:val="12"/>
          <w:w w:val="95"/>
        </w:rPr>
        <w:t>兴</w:t>
      </w:r>
      <w:r>
        <w:rPr>
          <w:spacing w:val="14"/>
          <w:w w:val="95"/>
        </w:rPr>
        <w:t>区其</w:t>
      </w:r>
      <w:r>
        <w:rPr>
          <w:spacing w:val="12"/>
          <w:w w:val="95"/>
        </w:rPr>
        <w:t>他</w:t>
      </w:r>
      <w:r>
        <w:rPr>
          <w:spacing w:val="14"/>
          <w:w w:val="95"/>
        </w:rPr>
        <w:t>政</w:t>
      </w:r>
      <w:r>
        <w:rPr>
          <w:w w:val="95"/>
        </w:rPr>
        <w:t xml:space="preserve">策 </w:t>
      </w:r>
      <w:r>
        <w:t>规定的，按照择优不重复的原则予以支持，另有规定的除外。</w:t>
      </w:r>
    </w:p>
    <w:p>
      <w:pPr>
        <w:pStyle w:val="3"/>
        <w:tabs>
          <w:tab w:val="left" w:pos="2352"/>
        </w:tabs>
        <w:spacing w:before="2" w:line="350" w:lineRule="auto"/>
        <w:ind w:left="113" w:right="1472" w:firstLine="640"/>
      </w:pPr>
      <w:r>
        <w:rPr>
          <w:rFonts w:hint="eastAsia" w:ascii="黑体" w:eastAsia="黑体"/>
        </w:rPr>
        <w:t>第十八条</w:t>
      </w:r>
      <w:r>
        <w:rPr>
          <w:rFonts w:hint="eastAsia" w:ascii="黑体" w:eastAsia="黑体"/>
        </w:rPr>
        <w:tab/>
      </w:r>
      <w:r>
        <w:t>本办法试行期三</w:t>
      </w:r>
      <w:r>
        <w:rPr>
          <w:spacing w:val="3"/>
        </w:rPr>
        <w:t>年</w:t>
      </w:r>
      <w:r>
        <w:t>，自公布之日起施</w:t>
      </w:r>
      <w:r>
        <w:rPr>
          <w:spacing w:val="3"/>
        </w:rPr>
        <w:t>行</w:t>
      </w:r>
      <w:r>
        <w:t>，期间</w:t>
      </w:r>
      <w:r>
        <w:rPr>
          <w:spacing w:val="-14"/>
        </w:rPr>
        <w:t>如</w:t>
      </w:r>
      <w:r>
        <w:t>遇国家和北京市相关政策调整，本办法同步调整。</w:t>
      </w:r>
    </w:p>
    <w:p>
      <w:pPr>
        <w:spacing w:after="0" w:line="350" w:lineRule="auto"/>
        <w:sectPr>
          <w:pgSz w:w="11910" w:h="16840"/>
          <w:pgMar w:top="1540" w:right="0" w:bottom="1520" w:left="1360" w:header="0" w:footer="1321" w:gutter="0"/>
        </w:sectPr>
      </w:pPr>
    </w:p>
    <w:p>
      <w:pPr>
        <w:pStyle w:val="3"/>
        <w:rPr>
          <w:sz w:val="20"/>
        </w:rPr>
      </w:pPr>
      <w:r>
        <w:pict>
          <v:shape id="_x0000_s1032" o:spid="_x0000_s1032" o:spt="136" type="#_x0000_t136" style="position:absolute;left:0pt;margin-left:14.05pt;margin-top:401.35pt;height:48pt;width:576pt;mso-position-horizontal-relative:page;mso-position-vertical-relative:page;rotation:20643840f;z-index:-251838464;mso-width-relative:page;mso-height-relative:page;" fillcolor="#AAAAAA" filled="t" stroked="f" coordsize="21600,21600">
            <v:path/>
            <v:fill on="t" opacity="32639f" focussize="0,0"/>
            <v:stroke on="f"/>
            <v:imagedata o:title=""/>
            <o:lock v:ext="edit"/>
            <v:textpath on="t" fitpath="t" trim="t" xscale="f" string="北京市大兴区人民政府公报" style="font-family:微软雅黑;font-size:48pt;v-text-align:center;"/>
          </v:shape>
        </w:pict>
      </w: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spacing w:before="2"/>
        <w:rPr>
          <w:sz w:val="18"/>
        </w:rPr>
      </w:pPr>
    </w:p>
    <w:p>
      <w:pPr>
        <w:pStyle w:val="3"/>
        <w:spacing w:line="20" w:lineRule="exact"/>
        <w:ind w:left="104"/>
        <w:rPr>
          <w:sz w:val="2"/>
        </w:rPr>
      </w:pPr>
      <w:r>
        <w:rPr>
          <w:sz w:val="2"/>
        </w:rPr>
        <w:pict>
          <v:group id="_x0000_s1033" o:spid="_x0000_s1033" o:spt="203" style="height:1.05pt;width:442.2pt;" coordsize="8844,21">
            <o:lock v:ext="edit"/>
            <v:line id="_x0000_s1034" o:spid="_x0000_s1034" o:spt="20" style="position:absolute;left:0;top:10;height:0;width:8844;" stroked="t" coordsize="21600,21600">
              <v:path arrowok="t"/>
              <v:fill focussize="0,0"/>
              <v:stroke weight="1.00062992125984pt" color="#000000"/>
              <v:imagedata o:title=""/>
              <o:lock v:ext="edit"/>
            </v:line>
            <w10:wrap type="none"/>
            <w10:anchorlock/>
          </v:group>
        </w:pict>
      </w:r>
    </w:p>
    <w:p>
      <w:pPr>
        <w:pStyle w:val="3"/>
        <w:spacing w:before="6"/>
        <w:rPr>
          <w:sz w:val="7"/>
        </w:rPr>
      </w:pPr>
    </w:p>
    <w:p>
      <w:pPr>
        <w:spacing w:before="62" w:line="400" w:lineRule="auto"/>
        <w:ind w:left="1234" w:right="1786" w:hanging="807"/>
        <w:jc w:val="both"/>
        <w:rPr>
          <w:sz w:val="28"/>
        </w:rPr>
      </w:pPr>
      <w:r>
        <w:pict>
          <v:line id="_x0000_s1035" o:spid="_x0000_s1035" o:spt="20" style="position:absolute;left:0pt;margin-left:73.65pt;margin-top:85.7pt;height:0pt;width:442.15pt;mso-position-horizontal-relative:page;z-index:-251839488;mso-width-relative:page;mso-height-relative:page;" stroked="t" coordsize="21600,21600">
            <v:path arrowok="t"/>
            <v:fill focussize="0,0"/>
            <v:stroke weight="0.748346456692913pt" color="#000000"/>
            <v:imagedata o:title=""/>
            <o:lock v:ext="edit"/>
          </v:line>
        </w:pict>
      </w:r>
      <w:r>
        <w:rPr>
          <w:spacing w:val="-15"/>
          <w:sz w:val="28"/>
        </w:rPr>
        <w:t>抄送：区委办公室、各部、委，区人大办公室，区政协办公室，区纪委</w:t>
      </w:r>
      <w:r>
        <w:rPr>
          <w:spacing w:val="-10"/>
          <w:sz w:val="28"/>
        </w:rPr>
        <w:t>区监委机关，区人民法院，区人民检察院，临空经济区大兴片</w:t>
      </w:r>
      <w:r>
        <w:rPr>
          <w:spacing w:val="-2"/>
          <w:sz w:val="28"/>
        </w:rPr>
        <w:t>区管委会。</w:t>
      </w:r>
    </w:p>
    <w:p>
      <w:pPr>
        <w:tabs>
          <w:tab w:val="left" w:pos="6113"/>
        </w:tabs>
        <w:spacing w:before="3"/>
        <w:ind w:left="432" w:right="0" w:firstLine="0"/>
        <w:jc w:val="both"/>
        <w:rPr>
          <w:sz w:val="28"/>
        </w:rPr>
      </w:pPr>
      <w:r>
        <w:pict>
          <v:shape id="_x0000_s1036" o:spid="_x0000_s1036" style="position:absolute;left:0pt;margin-left:73.65pt;margin-top:22.55pt;height:0.1pt;width:442.2pt;mso-position-horizontal-relative:page;mso-wrap-distance-bottom:0pt;mso-wrap-distance-top:0pt;z-index:-251651072;mso-width-relative:page;mso-height-relative:page;" filled="f" stroked="t" coordorigin="1474,451" coordsize="8844,0" path="m1474,451l10318,451e">
            <v:path arrowok="t"/>
            <v:fill on="f" focussize="0,0"/>
            <v:stroke weight="1.00062992125984pt" color="#000000"/>
            <v:imagedata o:title=""/>
            <o:lock v:ext="edit"/>
            <w10:wrap type="topAndBottom"/>
          </v:shape>
        </w:pict>
      </w:r>
      <w:r>
        <w:rPr>
          <w:spacing w:val="-13"/>
          <w:sz w:val="28"/>
        </w:rPr>
        <w:t>北</w:t>
      </w:r>
      <w:r>
        <w:rPr>
          <w:spacing w:val="-15"/>
          <w:sz w:val="28"/>
        </w:rPr>
        <w:t>京</w:t>
      </w:r>
      <w:r>
        <w:rPr>
          <w:spacing w:val="-13"/>
          <w:sz w:val="28"/>
        </w:rPr>
        <w:t>市大</w:t>
      </w:r>
      <w:r>
        <w:rPr>
          <w:spacing w:val="-15"/>
          <w:sz w:val="28"/>
        </w:rPr>
        <w:t>兴</w:t>
      </w:r>
      <w:r>
        <w:rPr>
          <w:spacing w:val="-13"/>
          <w:sz w:val="28"/>
        </w:rPr>
        <w:t>区人</w:t>
      </w:r>
      <w:r>
        <w:rPr>
          <w:spacing w:val="-15"/>
          <w:sz w:val="28"/>
        </w:rPr>
        <w:t>民</w:t>
      </w:r>
      <w:r>
        <w:rPr>
          <w:spacing w:val="-13"/>
          <w:sz w:val="28"/>
        </w:rPr>
        <w:t>政府</w:t>
      </w:r>
      <w:r>
        <w:rPr>
          <w:spacing w:val="-15"/>
          <w:sz w:val="28"/>
        </w:rPr>
        <w:t>办</w:t>
      </w:r>
      <w:r>
        <w:rPr>
          <w:spacing w:val="-13"/>
          <w:sz w:val="28"/>
        </w:rPr>
        <w:t>公</w:t>
      </w:r>
      <w:r>
        <w:rPr>
          <w:sz w:val="28"/>
        </w:rPr>
        <w:t>室</w:t>
      </w:r>
      <w:r>
        <w:rPr>
          <w:sz w:val="28"/>
        </w:rPr>
        <w:tab/>
      </w:r>
      <w:r>
        <w:rPr>
          <w:spacing w:val="-6"/>
          <w:sz w:val="28"/>
        </w:rPr>
        <w:t>2022</w:t>
      </w:r>
      <w:r>
        <w:rPr>
          <w:spacing w:val="-79"/>
          <w:sz w:val="28"/>
        </w:rPr>
        <w:t xml:space="preserve"> </w:t>
      </w:r>
      <w:r>
        <w:rPr>
          <w:sz w:val="28"/>
        </w:rPr>
        <w:t>年</w:t>
      </w:r>
      <w:r>
        <w:rPr>
          <w:spacing w:val="-86"/>
          <w:sz w:val="28"/>
        </w:rPr>
        <w:t xml:space="preserve"> </w:t>
      </w:r>
      <w:r>
        <w:rPr>
          <w:sz w:val="28"/>
        </w:rPr>
        <w:t>3</w:t>
      </w:r>
      <w:r>
        <w:rPr>
          <w:spacing w:val="-79"/>
          <w:sz w:val="28"/>
        </w:rPr>
        <w:t xml:space="preserve"> </w:t>
      </w:r>
      <w:r>
        <w:rPr>
          <w:sz w:val="28"/>
        </w:rPr>
        <w:t>月</w:t>
      </w:r>
      <w:r>
        <w:rPr>
          <w:spacing w:val="-87"/>
          <w:sz w:val="28"/>
        </w:rPr>
        <w:t xml:space="preserve"> </w:t>
      </w:r>
      <w:r>
        <w:rPr>
          <w:spacing w:val="-5"/>
          <w:sz w:val="28"/>
        </w:rPr>
        <w:t>31</w:t>
      </w:r>
      <w:r>
        <w:rPr>
          <w:spacing w:val="-77"/>
          <w:sz w:val="28"/>
        </w:rPr>
        <w:t xml:space="preserve"> </w:t>
      </w:r>
      <w:r>
        <w:rPr>
          <w:spacing w:val="-13"/>
          <w:sz w:val="28"/>
        </w:rPr>
        <w:t>日</w:t>
      </w:r>
      <w:r>
        <w:rPr>
          <w:spacing w:val="-15"/>
          <w:sz w:val="28"/>
        </w:rPr>
        <w:t>印</w:t>
      </w:r>
      <w:r>
        <w:rPr>
          <w:sz w:val="28"/>
        </w:rPr>
        <w:t>发</w:t>
      </w:r>
    </w:p>
    <w:sectPr>
      <w:pgSz w:w="11910" w:h="16840"/>
      <w:pgMar w:top="1580" w:right="0" w:bottom="1520" w:left="1360" w:header="0" w:footer="1321"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Calibri">
    <w:panose1 w:val="020F0502020204030204"/>
    <w:charset w:val="00"/>
    <w:family w:val="auto"/>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pict>
        <v:shape id="_x0000_s2049" o:spid="_x0000_s2049" o:spt="202" type="#_x0000_t202" style="position:absolute;left:0pt;margin-left:279.15pt;margin-top:764.15pt;height:16.05pt;width:37pt;mso-position-horizontal-relative:page;mso-position-vertical-relative:page;z-index:-251847680;mso-width-relative:page;mso-height-relative:page;" filled="f" stroked="f" coordsize="21600,21600">
          <v:path/>
          <v:fill on="f" focussize="0,0"/>
          <v:stroke on="f" joinstyle="miter"/>
          <v:imagedata o:title=""/>
          <o:lock v:ext="edit"/>
          <v:textbox inset="0mm,0mm,0mm,0mm">
            <w:txbxContent>
              <w:p>
                <w:pPr>
                  <w:spacing w:before="0" w:line="321" w:lineRule="exact"/>
                  <w:ind w:left="20" w:right="0" w:firstLine="0"/>
                  <w:jc w:val="left"/>
                  <w:rPr>
                    <w:rFonts w:ascii="宋体"/>
                    <w:sz w:val="28"/>
                  </w:rPr>
                </w:pPr>
                <w:r>
                  <w:rPr>
                    <w:rFonts w:ascii="宋体"/>
                    <w:sz w:val="28"/>
                  </w:rPr>
                  <w:t xml:space="preserve">- </w:t>
                </w:r>
                <w:r>
                  <w:fldChar w:fldCharType="begin"/>
                </w:r>
                <w:r>
                  <w:rPr>
                    <w:rFonts w:ascii="宋体"/>
                    <w:sz w:val="28"/>
                  </w:rPr>
                  <w:instrText xml:space="preserve"> PAGE </w:instrText>
                </w:r>
                <w:r>
                  <w:fldChar w:fldCharType="separate"/>
                </w:r>
                <w:r>
                  <w:t>1</w:t>
                </w:r>
                <w:r>
                  <w:fldChar w:fldCharType="end"/>
                </w:r>
                <w:r>
                  <w:rPr>
                    <w:rFonts w:ascii="宋体"/>
                    <w:sz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documentProtection w:enforcement="0"/>
  <w:defaultTabStop w:val="720"/>
  <w:drawingGridHorizontalSpacing w:val="110"/>
  <w:displayHorizontalDrawingGridEvery w:val="2"/>
  <w:characterSpacingControl w:val="doNotCompress"/>
  <w:hdrShapeDefaults>
    <o:shapelayout v:ext="edit">
      <o:idmap v:ext="edit" data="2"/>
    </o:shapelayout>
  </w:hdrShapeDefaults>
  <w:compat>
    <w:ulTrailSpace/>
    <w:shapeLayoutLikeWW8/>
    <w:useFELayout/>
    <w:compatSetting w:name="compatibilityMode" w:uri="http://schemas.microsoft.com/office/word" w:val="12"/>
  </w:compat>
  <w:rsids>
    <w:rsidRoot w:val="00000000"/>
    <w:rsid w:val="522A7C7E"/>
    <w:rsid w:val="67550B18"/>
    <w:rsid w:val="7218715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_GB2312" w:hAnsi="仿宋_GB2312" w:eastAsia="仿宋_GB2312" w:cs="仿宋_GB2312"/>
      <w:sz w:val="22"/>
      <w:szCs w:val="22"/>
      <w:lang w:val="zh-CN" w:eastAsia="zh-CN" w:bidi="zh-CN"/>
    </w:rPr>
  </w:style>
  <w:style w:type="paragraph" w:styleId="2">
    <w:name w:val="heading 1"/>
    <w:basedOn w:val="1"/>
    <w:next w:val="1"/>
    <w:qFormat/>
    <w:uiPriority w:val="1"/>
    <w:pPr>
      <w:jc w:val="center"/>
      <w:outlineLvl w:val="1"/>
    </w:pPr>
    <w:rPr>
      <w:rFonts w:ascii="方正小标宋简体" w:hAnsi="方正小标宋简体" w:eastAsia="方正小标宋简体" w:cs="方正小标宋简体"/>
      <w:sz w:val="44"/>
      <w:szCs w:val="44"/>
      <w:lang w:val="zh-CN" w:eastAsia="zh-CN" w:bidi="zh-CN"/>
    </w:rPr>
  </w:style>
  <w:style w:type="character" w:default="1" w:styleId="5">
    <w:name w:val="Default Paragraph Font"/>
    <w:semiHidden/>
    <w:unhideWhenUsed/>
    <w:qFormat/>
    <w:uiPriority w:val="1"/>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3">
    <w:name w:val="Body Text"/>
    <w:basedOn w:val="1"/>
    <w:qFormat/>
    <w:uiPriority w:val="1"/>
    <w:rPr>
      <w:rFonts w:ascii="仿宋_GB2312" w:hAnsi="仿宋_GB2312" w:eastAsia="仿宋_GB2312" w:cs="仿宋_GB2312"/>
      <w:sz w:val="32"/>
      <w:szCs w:val="32"/>
      <w:lang w:val="zh-CN" w:eastAsia="zh-CN" w:bidi="zh-CN"/>
    </w:rPr>
  </w:style>
  <w:style w:type="table" w:customStyle="1" w:styleId="6">
    <w:name w:val="Table Normal"/>
    <w:semiHidden/>
    <w:unhideWhenUsed/>
    <w:qFormat/>
    <w:uiPriority w:val="2"/>
    <w:tblPr>
      <w:tblLayout w:type="fixed"/>
      <w:tblCellMar>
        <w:top w:w="0" w:type="dxa"/>
        <w:left w:w="0" w:type="dxa"/>
        <w:bottom w:w="0" w:type="dxa"/>
        <w:right w:w="0" w:type="dxa"/>
      </w:tblCellMar>
    </w:tblPr>
  </w:style>
  <w:style w:type="paragraph" w:styleId="7">
    <w:name w:val="List Paragraph"/>
    <w:basedOn w:val="1"/>
    <w:qFormat/>
    <w:uiPriority w:val="1"/>
    <w:rPr>
      <w:lang w:val="zh-CN" w:eastAsia="zh-CN" w:bidi="zh-CN"/>
    </w:rPr>
  </w:style>
  <w:style w:type="paragraph" w:customStyle="1" w:styleId="8">
    <w:name w:val="Table Paragraph"/>
    <w:basedOn w:val="1"/>
    <w:qFormat/>
    <w:uiPriority w:val="1"/>
    <w:rPr>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49"/>
    <customShpInfo spid="_x0000_s1026"/>
    <customShpInfo spid="_x0000_s1027"/>
    <customShpInfo spid="_x0000_s1028"/>
    <customShpInfo spid="_x0000_s1029"/>
    <customShpInfo spid="_x0000_s1030"/>
    <customShpInfo spid="_x0000_s1031"/>
    <customShpInfo spid="_x0000_s1032"/>
    <customShpInfo spid="_x0000_s1034"/>
    <customShpInfo spid="_x0000_s1033"/>
    <customShpInfo spid="_x0000_s1035"/>
    <customShpInfo spid="_x0000_s103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ScaleCrop>false</ScaleCrop>
  <LinksUpToDate>false</LinksUpToDate>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2022-07-11T07:15:00Z</dcterms:created>
  <dc:creator>可乐爸</dc:creator>
  <cp:lastModifiedBy>月</cp:lastModifiedBy>
  <dcterms:modified xsi:type="dcterms:W3CDTF">2022-07-11T09:08:44Z</dcterms:modified>
  <dc:title>京兴政发〔2022〕　号</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2022-07-11T00:00:00Z</vt:filetime>
  </property>
  <property fmtid="{D5CDD505-2E9C-101B-9397-08002B2CF9AE}" pid="3" name="Creator">
    <vt:lpwstr>WPS Writer</vt:lpwstr>
  </property>
  <property fmtid="{D5CDD505-2E9C-101B-9397-08002B2CF9AE}" pid="4" name="LastSaved">
    <vt:filetime>2022-07-11T00:00:00Z</vt:filetime>
  </property>
  <property fmtid="{D5CDD505-2E9C-101B-9397-08002B2CF9AE}" pid="5" name="KSOProductBuildVer">
    <vt:lpwstr>2052-11.8.2.8696</vt:lpwstr>
  </property>
</Properties>
</file>