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shape style="position:absolute;margin-left:14.101753pt;margin-top:401.402161pt;width:576pt;height:48pt;mso-position-horizontal-relative:page;mso-position-vertical-relative:page;z-index:-25217228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15"/>
        </w:rPr>
      </w:pPr>
    </w:p>
    <w:p>
      <w:pPr>
        <w:pStyle w:val="BodyText"/>
        <w:ind w:left="111"/>
        <w:rPr>
          <w:rFonts w:ascii="Times New Roman"/>
          <w:sz w:val="20"/>
        </w:rPr>
      </w:pPr>
      <w:r>
        <w:rPr>
          <w:rFonts w:ascii="Times New Roman"/>
          <w:sz w:val="20"/>
        </w:rPr>
        <w:pict>
          <v:group style="width:445.95pt;height:169.5pt;mso-position-horizontal-relative:char;mso-position-vertical-relative:line" coordorigin="0,0" coordsize="8919,3390">
            <v:shape style="position:absolute;left:0;top:0;width:8919;height:3390" type="#_x0000_t75" stroked="false">
              <v:imagedata r:id="rId5" o:title=""/>
            </v:shape>
            <v:shapetype id="_x0000_t202" o:spt="202" coordsize="21600,21600" path="m,l,21600r21600,l21600,xe">
              <v:stroke joinstyle="miter"/>
              <v:path gradientshapeok="t" o:connecttype="rect"/>
            </v:shapetype>
            <v:shape style="position:absolute;left:2918;top:2627;width:3145;height:319" type="#_x0000_t202" filled="false" stroked="false">
              <v:textbox inset="0,0,0,0">
                <w:txbxContent>
                  <w:p>
                    <w:pPr>
                      <w:spacing w:line="319" w:lineRule="exact" w:before="0"/>
                      <w:ind w:left="0" w:right="0" w:firstLine="0"/>
                      <w:jc w:val="left"/>
                      <w:rPr>
                        <w:sz w:val="32"/>
                      </w:rPr>
                    </w:pPr>
                    <w:r>
                      <w:rPr>
                        <w:sz w:val="32"/>
                      </w:rPr>
                      <w:t>兴西政发〔2022〕1</w:t>
                    </w:r>
                    <w:r>
                      <w:rPr>
                        <w:spacing w:val="-40"/>
                        <w:sz w:val="32"/>
                      </w:rPr>
                      <w:t> 号</w:t>
                    </w:r>
                  </w:p>
                </w:txbxContent>
              </v:textbox>
              <w10:wrap type="none"/>
            </v:shape>
          </v:group>
        </w:pict>
      </w:r>
      <w:r>
        <w:rPr>
          <w:rFonts w:ascii="Times New Roman"/>
          <w:sz w:val="20"/>
        </w:rPr>
      </w:r>
    </w:p>
    <w:p>
      <w:pPr>
        <w:pStyle w:val="BodyText"/>
        <w:rPr>
          <w:rFonts w:ascii="Times New Roman"/>
          <w:sz w:val="20"/>
        </w:rPr>
      </w:pPr>
    </w:p>
    <w:p>
      <w:pPr>
        <w:pStyle w:val="BodyText"/>
        <w:spacing w:before="9"/>
        <w:rPr>
          <w:rFonts w:ascii="Times New Roman"/>
          <w:sz w:val="24"/>
        </w:rPr>
      </w:pPr>
    </w:p>
    <w:p>
      <w:pPr>
        <w:pStyle w:val="Heading1"/>
        <w:spacing w:line="641" w:lineRule="exact"/>
        <w:ind w:left="186" w:right="1483"/>
        <w:jc w:val="center"/>
      </w:pPr>
      <w:r>
        <w:rPr/>
        <w:t>大兴区西红门镇人民政府</w:t>
      </w:r>
    </w:p>
    <w:p>
      <w:pPr>
        <w:spacing w:line="172" w:lineRule="auto" w:before="37"/>
        <w:ind w:left="190" w:right="1483" w:firstLine="0"/>
        <w:jc w:val="center"/>
        <w:rPr>
          <w:rFonts w:ascii="方正小标宋简体" w:eastAsia="方正小标宋简体" w:hint="eastAsia"/>
          <w:sz w:val="44"/>
        </w:rPr>
      </w:pPr>
      <w:r>
        <w:rPr>
          <w:rFonts w:ascii="方正小标宋简体" w:eastAsia="方正小标宋简体" w:hint="eastAsia"/>
          <w:sz w:val="44"/>
        </w:rPr>
        <w:t>关于印发《西红门镇农村产权交易管理办法》的通知</w:t>
      </w:r>
    </w:p>
    <w:p>
      <w:pPr>
        <w:pStyle w:val="BodyText"/>
        <w:spacing w:before="17"/>
        <w:rPr>
          <w:rFonts w:ascii="方正小标宋简体"/>
          <w:sz w:val="34"/>
        </w:rPr>
      </w:pPr>
    </w:p>
    <w:p>
      <w:pPr>
        <w:pStyle w:val="BodyText"/>
        <w:ind w:left="166"/>
      </w:pPr>
      <w:r>
        <w:rPr/>
        <w:t>各村集体经济组织：</w:t>
      </w:r>
    </w:p>
    <w:p>
      <w:pPr>
        <w:pStyle w:val="BodyText"/>
        <w:spacing w:line="328" w:lineRule="auto" w:before="149"/>
        <w:ind w:left="166" w:right="1327" w:firstLine="643"/>
      </w:pPr>
      <w:r>
        <w:rPr/>
        <w:t>为进一步规范农村产权交易行为，按照北京市农业农村局、</w:t>
      </w:r>
      <w:r>
        <w:rPr>
          <w:spacing w:val="-12"/>
        </w:rPr>
        <w:t>北京市财政局印发的《关于进一步加强本市农村产权流转交易市</w:t>
      </w:r>
      <w:r>
        <w:rPr>
          <w:spacing w:val="-30"/>
        </w:rPr>
        <w:t>场建设的实施意见》</w:t>
      </w:r>
      <w:r>
        <w:rPr/>
        <w:t>（</w:t>
      </w:r>
      <w:r>
        <w:rPr>
          <w:rFonts w:ascii="楷体_GB2312" w:eastAsia="楷体_GB2312" w:hint="eastAsia"/>
          <w:spacing w:val="-3"/>
        </w:rPr>
        <w:t>京政农发〔</w:t>
      </w:r>
      <w:r>
        <w:rPr>
          <w:rFonts w:ascii="楷体_GB2312" w:eastAsia="楷体_GB2312" w:hint="eastAsia"/>
        </w:rPr>
        <w:t>2020</w:t>
      </w:r>
      <w:r>
        <w:rPr>
          <w:rFonts w:ascii="楷体_GB2312" w:eastAsia="楷体_GB2312" w:hint="eastAsia"/>
          <w:spacing w:val="-10"/>
        </w:rPr>
        <w:t>〕</w:t>
      </w:r>
      <w:r>
        <w:rPr>
          <w:rFonts w:ascii="楷体_GB2312" w:eastAsia="楷体_GB2312" w:hint="eastAsia"/>
        </w:rPr>
        <w:t>158</w:t>
      </w:r>
      <w:r>
        <w:rPr>
          <w:rFonts w:ascii="楷体_GB2312" w:eastAsia="楷体_GB2312" w:hint="eastAsia"/>
          <w:spacing w:val="-39"/>
        </w:rPr>
        <w:t> 号</w:t>
      </w:r>
      <w:r>
        <w:rPr>
          <w:rFonts w:ascii="楷体_GB2312" w:eastAsia="楷体_GB2312" w:hint="eastAsia"/>
          <w:spacing w:val="-159"/>
        </w:rPr>
        <w:t>）</w:t>
      </w:r>
      <w:r>
        <w:rPr>
          <w:spacing w:val="-3"/>
        </w:rPr>
        <w:t>、大兴区农业农</w:t>
      </w:r>
      <w:r>
        <w:rPr>
          <w:spacing w:val="-12"/>
        </w:rPr>
        <w:t>村、大兴区经管站《关于印发大兴区农村产权交易管理办法的通</w:t>
      </w:r>
      <w:r>
        <w:rPr>
          <w:spacing w:val="-86"/>
        </w:rPr>
        <w:t>知》</w:t>
      </w:r>
      <w:r>
        <w:rPr/>
        <w:t>（</w:t>
      </w:r>
      <w:r>
        <w:rPr>
          <w:rFonts w:ascii="楷体_GB2312" w:eastAsia="楷体_GB2312" w:hint="eastAsia"/>
        </w:rPr>
        <w:t>京兴政农发〔2021〕55</w:t>
      </w:r>
      <w:r>
        <w:rPr>
          <w:rFonts w:ascii="楷体_GB2312" w:eastAsia="楷体_GB2312" w:hint="eastAsia"/>
          <w:spacing w:val="-37"/>
        </w:rPr>
        <w:t> 号</w:t>
      </w:r>
      <w:r>
        <w:rPr/>
        <w:t>）等文件精神，结合本镇实际， </w:t>
      </w:r>
      <w:r>
        <w:rPr>
          <w:spacing w:val="-9"/>
        </w:rPr>
        <w:t>特制定《西红门镇农村产权交易管理办法》，现印发给你们，请</w:t>
      </w:r>
    </w:p>
    <w:p>
      <w:pPr>
        <w:pStyle w:val="BodyText"/>
        <w:spacing w:line="400" w:lineRule="exact"/>
        <w:ind w:left="809"/>
      </w:pPr>
      <w:r>
        <w:rPr/>
        <w:pict>
          <v:shape style="position:absolute;margin-left:486.600006pt;margin-top:31.615767pt;width:35pt;height:14.05pt;mso-position-horizontal-relative:page;mso-position-vertical-relative:paragraph;z-index:-252173312" type="#_x0000_t202" filled="false" stroked="false">
            <v:textbox inset="0,0,0,0">
              <w:txbxContent>
                <w:p>
                  <w:pPr>
                    <w:spacing w:line="281" w:lineRule="exact" w:before="0"/>
                    <w:ind w:left="0" w:right="0" w:firstLine="0"/>
                    <w:jc w:val="left"/>
                    <w:rPr>
                      <w:rFonts w:ascii="宋体"/>
                      <w:sz w:val="28"/>
                    </w:rPr>
                  </w:pPr>
                  <w:r>
                    <w:rPr>
                      <w:rFonts w:ascii="宋体"/>
                      <w:sz w:val="28"/>
                    </w:rPr>
                    <w:t>- 1 -</w:t>
                  </w:r>
                </w:p>
              </w:txbxContent>
            </v:textbox>
            <w10:wrap type="none"/>
          </v:shape>
        </w:pict>
      </w:r>
      <w:r>
        <w:rPr/>
        <w:t>按照文件要求，认真贯彻落实。</w:t>
      </w:r>
    </w:p>
    <w:p>
      <w:pPr>
        <w:spacing w:after="0" w:line="400" w:lineRule="exact"/>
        <w:sectPr>
          <w:type w:val="continuous"/>
          <w:pgSz w:w="11910" w:h="16840"/>
          <w:pgMar w:top="1580" w:bottom="280" w:left="1420" w:right="0"/>
        </w:sectPr>
      </w:pPr>
    </w:p>
    <w:p>
      <w:pPr>
        <w:pStyle w:val="BodyText"/>
        <w:rPr>
          <w:sz w:val="20"/>
        </w:rPr>
      </w:pPr>
      <w:r>
        <w:rPr/>
        <w:pict>
          <v:shape style="position:absolute;margin-left:14.101753pt;margin-top:401.402161pt;width:576pt;height:48pt;mso-position-horizontal-relative:page;mso-position-vertical-relative:page;z-index:25166233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sz w:val="20"/>
        </w:rPr>
      </w:pPr>
    </w:p>
    <w:p>
      <w:pPr>
        <w:pStyle w:val="BodyText"/>
        <w:rPr>
          <w:sz w:val="20"/>
        </w:rPr>
      </w:pPr>
    </w:p>
    <w:p>
      <w:pPr>
        <w:pStyle w:val="BodyText"/>
        <w:spacing w:before="6"/>
        <w:rPr>
          <w:sz w:val="28"/>
        </w:rPr>
      </w:pPr>
    </w:p>
    <w:p>
      <w:pPr>
        <w:pStyle w:val="BodyText"/>
        <w:spacing w:line="326" w:lineRule="auto" w:before="55"/>
        <w:ind w:left="2412" w:right="3261" w:hanging="963"/>
      </w:pPr>
      <w:r>
        <w:rPr/>
        <w:t>附件：1.西红门镇农村产权交易管理办法2.西红门镇农村产权交易领导小组</w:t>
      </w:r>
    </w:p>
    <w:p>
      <w:pPr>
        <w:pStyle w:val="BodyText"/>
      </w:pPr>
    </w:p>
    <w:p>
      <w:pPr>
        <w:pStyle w:val="BodyText"/>
      </w:pPr>
    </w:p>
    <w:p>
      <w:pPr>
        <w:pStyle w:val="BodyText"/>
        <w:spacing w:before="9"/>
        <w:rPr>
          <w:sz w:val="23"/>
        </w:rPr>
      </w:pPr>
    </w:p>
    <w:p>
      <w:pPr>
        <w:pStyle w:val="BodyText"/>
        <w:spacing w:line="328" w:lineRule="auto"/>
        <w:ind w:left="5357" w:right="2297" w:hanging="696"/>
      </w:pPr>
      <w:r>
        <w:rPr>
          <w:spacing w:val="-2"/>
        </w:rPr>
        <w:t>大兴区西红门镇人民政府</w:t>
      </w:r>
      <w:r>
        <w:rPr/>
        <w:t>2022</w:t>
      </w:r>
      <w:r>
        <w:rPr>
          <w:spacing w:val="-54"/>
        </w:rPr>
        <w:t> 年 </w:t>
      </w:r>
      <w:r>
        <w:rPr/>
        <w:t>1</w:t>
      </w:r>
      <w:r>
        <w:rPr>
          <w:spacing w:val="-54"/>
        </w:rPr>
        <w:t> 月 </w:t>
      </w:r>
      <w:r>
        <w:rPr/>
        <w:t>5</w:t>
      </w:r>
      <w:r>
        <w:rPr>
          <w:spacing w:val="-40"/>
        </w:rPr>
        <w:t> 日</w:t>
      </w:r>
    </w:p>
    <w:p>
      <w:pPr>
        <w:pStyle w:val="BodyText"/>
        <w:spacing w:line="407" w:lineRule="exact"/>
        <w:ind w:left="809"/>
      </w:pPr>
      <w:r>
        <w:rPr/>
        <w:t>（联系人：洪爱华；联系电话：60290127）</w:t>
      </w:r>
    </w:p>
    <w:p>
      <w:pPr>
        <w:spacing w:after="0" w:line="407" w:lineRule="exact"/>
        <w:sectPr>
          <w:footerReference w:type="even" r:id="rId6"/>
          <w:footerReference w:type="default" r:id="rId7"/>
          <w:pgSz w:w="11910" w:h="16840"/>
          <w:pgMar w:footer="1670" w:header="0" w:top="1580" w:bottom="1860" w:left="1420" w:right="0"/>
          <w:pgNumType w:start="2"/>
        </w:sectPr>
      </w:pPr>
    </w:p>
    <w:p>
      <w:pPr>
        <w:pStyle w:val="BodyText"/>
        <w:rPr>
          <w:sz w:val="20"/>
        </w:rPr>
      </w:pPr>
    </w:p>
    <w:p>
      <w:pPr>
        <w:pStyle w:val="BodyText"/>
        <w:spacing w:before="4"/>
        <w:rPr>
          <w:sz w:val="27"/>
        </w:rPr>
      </w:pPr>
    </w:p>
    <w:p>
      <w:pPr>
        <w:spacing w:after="0"/>
        <w:rPr>
          <w:sz w:val="27"/>
        </w:rPr>
        <w:sectPr>
          <w:pgSz w:w="11910" w:h="16840"/>
          <w:pgMar w:header="0" w:footer="1670" w:top="1580" w:bottom="1860" w:left="1420" w:right="0"/>
        </w:sectPr>
      </w:pPr>
    </w:p>
    <w:p>
      <w:pPr>
        <w:pStyle w:val="BodyText"/>
        <w:spacing w:before="54"/>
        <w:ind w:left="166"/>
        <w:rPr>
          <w:rFonts w:ascii="黑体" w:eastAsia="黑体" w:hint="eastAsia"/>
        </w:rPr>
      </w:pPr>
      <w:r>
        <w:rPr>
          <w:rFonts w:ascii="黑体" w:eastAsia="黑体" w:hint="eastAsia"/>
          <w:spacing w:val="-27"/>
        </w:rPr>
        <w:t>附件 </w:t>
      </w:r>
      <w:r>
        <w:rPr>
          <w:rFonts w:ascii="黑体" w:eastAsia="黑体" w:hint="eastAsia"/>
        </w:rPr>
        <w:t>1</w:t>
      </w:r>
    </w:p>
    <w:p>
      <w:pPr>
        <w:pStyle w:val="Heading1"/>
        <w:spacing w:before="447"/>
      </w:pPr>
      <w:r>
        <w:rPr/>
        <w:br w:type="column"/>
      </w:r>
      <w:r>
        <w:rPr/>
        <w:t>西红门镇农村产权交易管理办法</w:t>
      </w:r>
    </w:p>
    <w:p>
      <w:pPr>
        <w:spacing w:after="0"/>
        <w:sectPr>
          <w:type w:val="continuous"/>
          <w:pgSz w:w="11910" w:h="16840"/>
          <w:pgMar w:top="1580" w:bottom="280" w:left="1420" w:right="0"/>
          <w:cols w:num="2" w:equalWidth="0">
            <w:col w:w="1089" w:space="255"/>
            <w:col w:w="9146"/>
          </w:cols>
        </w:sectPr>
      </w:pPr>
    </w:p>
    <w:p>
      <w:pPr>
        <w:pStyle w:val="BodyText"/>
        <w:rPr>
          <w:rFonts w:ascii="方正小标宋简体"/>
          <w:sz w:val="20"/>
        </w:rPr>
      </w:pPr>
      <w:r>
        <w:rPr/>
        <w:pict>
          <v:shape style="position:absolute;margin-left:14.101753pt;margin-top:401.402161pt;width:576pt;height:48pt;mso-position-horizontal-relative:page;mso-position-vertical-relative:page;z-index:-25217024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2"/>
        <w:rPr>
          <w:rFonts w:ascii="方正小标宋简体"/>
          <w:sz w:val="10"/>
        </w:rPr>
      </w:pPr>
    </w:p>
    <w:p>
      <w:pPr>
        <w:pStyle w:val="BodyText"/>
        <w:tabs>
          <w:tab w:pos="1281" w:val="left" w:leader="none"/>
        </w:tabs>
        <w:spacing w:before="54"/>
        <w:ind w:right="1302"/>
        <w:jc w:val="center"/>
        <w:rPr>
          <w:rFonts w:ascii="黑体" w:eastAsia="黑体" w:hint="eastAsia"/>
        </w:rPr>
      </w:pPr>
      <w:bookmarkStart w:name="第一章  总则" w:id="1"/>
      <w:bookmarkEnd w:id="1"/>
      <w:r>
        <w:rPr/>
      </w:r>
      <w:r>
        <w:rPr>
          <w:rFonts w:ascii="黑体" w:eastAsia="黑体" w:hint="eastAsia"/>
        </w:rPr>
        <w:t>第一章</w:t>
        <w:tab/>
        <w:t>总则</w:t>
      </w:r>
    </w:p>
    <w:p>
      <w:pPr>
        <w:pStyle w:val="BodyText"/>
        <w:tabs>
          <w:tab w:pos="2093" w:val="left" w:leader="none"/>
        </w:tabs>
        <w:spacing w:line="328" w:lineRule="auto" w:before="150"/>
        <w:ind w:left="166" w:right="1327" w:firstLine="643"/>
      </w:pPr>
      <w:r>
        <w:rPr>
          <w:rFonts w:ascii="黑体" w:eastAsia="黑体" w:hint="eastAsia"/>
        </w:rPr>
        <w:t>第一条</w:t>
        <w:tab/>
      </w:r>
      <w:r>
        <w:rPr/>
        <w:t>为进一步规范农村产权交易行为</w:t>
      </w:r>
      <w:r>
        <w:rPr>
          <w:spacing w:val="-127"/>
        </w:rPr>
        <w:t>，</w:t>
      </w:r>
      <w:r>
        <w:rPr/>
        <w:t>提高农村集体资产经营效益，促进农村党风廉政建设，根据北京市农业农村局、北京市财政局印发</w:t>
      </w:r>
      <w:r>
        <w:rPr>
          <w:spacing w:val="-130"/>
        </w:rPr>
        <w:t>的</w:t>
      </w:r>
      <w:r>
        <w:rPr/>
        <w:t>《关于进一步加强本市农村产权流转交易市场建设的实施意见</w:t>
      </w:r>
      <w:r>
        <w:rPr>
          <w:spacing w:val="-173"/>
        </w:rPr>
        <w:t>》</w:t>
      </w:r>
      <w:r>
        <w:rPr/>
        <w:t>（京政农</w:t>
      </w:r>
      <w:r>
        <w:rPr>
          <w:spacing w:val="-10"/>
        </w:rPr>
        <w:t>发</w:t>
      </w:r>
      <w:r>
        <w:rPr/>
        <w:t>〔2020</w:t>
      </w:r>
      <w:r>
        <w:rPr>
          <w:spacing w:val="-10"/>
        </w:rPr>
        <w:t>〕</w:t>
      </w:r>
      <w:r>
        <w:rPr/>
        <w:t>158</w:t>
      </w:r>
      <w:r>
        <w:rPr>
          <w:spacing w:val="-78"/>
        </w:rPr>
        <w:t> </w:t>
      </w:r>
      <w:r>
        <w:rPr/>
        <w:t>号</w:t>
      </w:r>
      <w:r>
        <w:rPr>
          <w:spacing w:val="-159"/>
        </w:rPr>
        <w:t>）</w:t>
      </w:r>
      <w:r>
        <w:rPr>
          <w:spacing w:val="-12"/>
        </w:rPr>
        <w:t>、</w:t>
      </w:r>
      <w:r>
        <w:rPr/>
        <w:t>大兴区农业农村</w:t>
      </w:r>
      <w:r>
        <w:rPr>
          <w:spacing w:val="-63"/>
        </w:rPr>
        <w:t>、</w:t>
      </w:r>
      <w:r>
        <w:rPr/>
        <w:t>大兴区经管</w:t>
      </w:r>
      <w:r>
        <w:rPr>
          <w:spacing w:val="-65"/>
        </w:rPr>
        <w:t>站</w:t>
      </w:r>
      <w:r>
        <w:rPr/>
        <w:t>《关于印发大兴区农村产权交易管理办法的通知</w:t>
      </w:r>
      <w:r>
        <w:rPr>
          <w:spacing w:val="-159"/>
        </w:rPr>
        <w:t>》</w:t>
      </w:r>
      <w:r>
        <w:rPr/>
        <w:t>（京兴政农发〔2021〕55</w:t>
      </w:r>
      <w:r>
        <w:rPr>
          <w:spacing w:val="-74"/>
        </w:rPr>
        <w:t> </w:t>
      </w:r>
      <w:r>
        <w:rPr/>
        <w:t>号）等文件精神，结合本镇实际， 制定本办法。</w:t>
      </w:r>
    </w:p>
    <w:p>
      <w:pPr>
        <w:pStyle w:val="BodyText"/>
        <w:tabs>
          <w:tab w:pos="2093" w:val="left" w:leader="none"/>
        </w:tabs>
        <w:spacing w:line="397" w:lineRule="exact"/>
        <w:ind w:left="809"/>
      </w:pPr>
      <w:r>
        <w:rPr>
          <w:rFonts w:ascii="黑体" w:eastAsia="黑体" w:hint="eastAsia"/>
        </w:rPr>
        <w:t>第二条</w:t>
        <w:tab/>
      </w:r>
      <w:r>
        <w:rPr/>
        <w:t>凡在我镇从事农村产权交易活动的，适用本办法。</w:t>
      </w:r>
    </w:p>
    <w:p>
      <w:pPr>
        <w:pStyle w:val="BodyText"/>
        <w:spacing w:before="151"/>
        <w:ind w:left="166"/>
      </w:pPr>
      <w:r>
        <w:rPr/>
        <w:t>法律、法规、规章及上级部门政策文件另有规定的，从其规定。</w:t>
      </w:r>
    </w:p>
    <w:p>
      <w:pPr>
        <w:pStyle w:val="BodyText"/>
        <w:tabs>
          <w:tab w:pos="2093" w:val="left" w:leader="none"/>
        </w:tabs>
        <w:spacing w:line="328" w:lineRule="auto" w:before="149"/>
        <w:ind w:left="166" w:right="1296" w:firstLine="643"/>
      </w:pPr>
      <w:r>
        <w:rPr>
          <w:rFonts w:ascii="黑体" w:eastAsia="黑体" w:hint="eastAsia"/>
        </w:rPr>
        <w:t>第三条</w:t>
        <w:tab/>
      </w:r>
      <w:r>
        <w:rPr/>
        <w:t>本办法所称的农村产权交易</w:t>
      </w:r>
      <w:r>
        <w:rPr>
          <w:spacing w:val="-130"/>
        </w:rPr>
        <w:t>，</w:t>
      </w:r>
      <w:r>
        <w:rPr/>
        <w:t>是指农村产权主体将权属清晰</w:t>
      </w:r>
      <w:r>
        <w:rPr>
          <w:spacing w:val="-142"/>
        </w:rPr>
        <w:t>、</w:t>
      </w:r>
      <w:r>
        <w:rPr/>
        <w:t>合法拥有的产权通过北京农村产权交易所</w:t>
      </w:r>
      <w:r>
        <w:rPr>
          <w:spacing w:val="-142"/>
        </w:rPr>
        <w:t>，</w:t>
      </w:r>
      <w:r>
        <w:rPr/>
        <w:t>采取出让、转让</w:t>
      </w:r>
      <w:r>
        <w:rPr>
          <w:spacing w:val="-31"/>
        </w:rPr>
        <w:t>、</w:t>
      </w:r>
      <w:r>
        <w:rPr/>
        <w:t>发包</w:t>
      </w:r>
      <w:r>
        <w:rPr>
          <w:spacing w:val="-31"/>
        </w:rPr>
        <w:t>、</w:t>
      </w:r>
      <w:r>
        <w:rPr/>
        <w:t>出租等形式交由其他法人</w:t>
      </w:r>
      <w:r>
        <w:rPr>
          <w:spacing w:val="-31"/>
        </w:rPr>
        <w:t>、</w:t>
      </w:r>
      <w:r>
        <w:rPr/>
        <w:t>个人经营或使用</w:t>
      </w:r>
      <w:r>
        <w:rPr>
          <w:spacing w:val="-31"/>
        </w:rPr>
        <w:t>，</w:t>
      </w:r>
      <w:r>
        <w:rPr/>
        <w:t>并订立合同确定双方当事人权利和义务的过程。</w:t>
      </w:r>
    </w:p>
    <w:p>
      <w:pPr>
        <w:pStyle w:val="BodyText"/>
        <w:tabs>
          <w:tab w:pos="2093" w:val="left" w:leader="none"/>
        </w:tabs>
        <w:spacing w:line="328" w:lineRule="auto"/>
        <w:ind w:left="166" w:right="1327" w:firstLine="643"/>
      </w:pPr>
      <w:r>
        <w:rPr>
          <w:rFonts w:ascii="黑体" w:eastAsia="黑体" w:hint="eastAsia"/>
        </w:rPr>
        <w:t>第四条</w:t>
        <w:tab/>
      </w:r>
      <w:r>
        <w:rPr/>
        <w:t>农村产权交易应当遵守有关法律</w:t>
      </w:r>
      <w:r>
        <w:rPr>
          <w:spacing w:val="-65"/>
        </w:rPr>
        <w:t>、</w:t>
      </w:r>
      <w:r>
        <w:rPr/>
        <w:t>法规</w:t>
      </w:r>
      <w:r>
        <w:rPr>
          <w:spacing w:val="-65"/>
        </w:rPr>
        <w:t>、</w:t>
      </w:r>
      <w:r>
        <w:rPr/>
        <w:t>规章及上级部门政策文件规定，不得侵犯国家、集体或他人的合法权益， 不得损害社会公共利益</w:t>
      </w:r>
      <w:r>
        <w:rPr>
          <w:spacing w:val="-24"/>
        </w:rPr>
        <w:t>，</w:t>
      </w:r>
      <w:r>
        <w:rPr/>
        <w:t>坚持自愿</w:t>
      </w:r>
      <w:r>
        <w:rPr>
          <w:spacing w:val="-24"/>
        </w:rPr>
        <w:t>、</w:t>
      </w:r>
      <w:r>
        <w:rPr/>
        <w:t>有偿</w:t>
      </w:r>
      <w:r>
        <w:rPr>
          <w:spacing w:val="-24"/>
        </w:rPr>
        <w:t>、</w:t>
      </w:r>
      <w:r>
        <w:rPr/>
        <w:t>公平</w:t>
      </w:r>
      <w:r>
        <w:rPr>
          <w:spacing w:val="-24"/>
        </w:rPr>
        <w:t>、</w:t>
      </w:r>
      <w:r>
        <w:rPr/>
        <w:t>公开</w:t>
      </w:r>
      <w:r>
        <w:rPr>
          <w:spacing w:val="-24"/>
        </w:rPr>
        <w:t>、</w:t>
      </w:r>
      <w:r>
        <w:rPr/>
        <w:t>公正的原则。</w:t>
      </w:r>
    </w:p>
    <w:p>
      <w:pPr>
        <w:pStyle w:val="BodyText"/>
        <w:tabs>
          <w:tab w:pos="2093" w:val="left" w:leader="none"/>
        </w:tabs>
        <w:spacing w:line="405" w:lineRule="exact"/>
        <w:ind w:left="809"/>
      </w:pPr>
      <w:r>
        <w:rPr>
          <w:rFonts w:ascii="黑体" w:eastAsia="黑体" w:hint="eastAsia"/>
        </w:rPr>
        <w:t>第五条</w:t>
        <w:tab/>
      </w:r>
      <w:r>
        <w:rPr/>
        <w:t>西红门镇行政区域内</w:t>
      </w:r>
      <w:r>
        <w:rPr>
          <w:spacing w:val="-130"/>
        </w:rPr>
        <w:t>，</w:t>
      </w:r>
      <w:r>
        <w:rPr/>
        <w:t>村集体经济组织及农村集体</w:t>
      </w:r>
    </w:p>
    <w:p>
      <w:pPr>
        <w:spacing w:after="0" w:line="405" w:lineRule="exact"/>
        <w:sectPr>
          <w:type w:val="continuous"/>
          <w:pgSz w:w="11910" w:h="16840"/>
          <w:pgMar w:top="1580" w:bottom="280" w:left="1420" w:right="0"/>
        </w:sectPr>
      </w:pPr>
    </w:p>
    <w:p>
      <w:pPr>
        <w:pStyle w:val="BodyText"/>
        <w:rPr>
          <w:sz w:val="20"/>
        </w:rPr>
      </w:pPr>
      <w:r>
        <w:rPr/>
        <w:pict>
          <v:shape style="position:absolute;margin-left:14.101753pt;margin-top:401.402161pt;width:576pt;height:48pt;mso-position-horizontal-relative:page;mso-position-vertical-relative:page;z-index:-25216921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1"/>
        <w:rPr>
          <w:sz w:val="24"/>
        </w:rPr>
      </w:pPr>
    </w:p>
    <w:p>
      <w:pPr>
        <w:pStyle w:val="BodyText"/>
        <w:spacing w:line="326" w:lineRule="auto" w:before="54"/>
        <w:ind w:left="166" w:right="1459"/>
      </w:pPr>
      <w:r>
        <w:rPr>
          <w:spacing w:val="-8"/>
        </w:rPr>
        <w:t>企业对外进行下列农村产权交易活动时，须通过北京农村产权交易所进行交易：</w:t>
      </w:r>
    </w:p>
    <w:p>
      <w:pPr>
        <w:pStyle w:val="BodyText"/>
        <w:spacing w:line="328" w:lineRule="auto" w:before="4"/>
        <w:ind w:left="166" w:right="1458" w:firstLine="643"/>
        <w:jc w:val="both"/>
      </w:pPr>
      <w:r>
        <w:rPr/>
        <w:t>（一</w:t>
      </w:r>
      <w:r>
        <w:rPr>
          <w:spacing w:val="-63"/>
        </w:rPr>
        <w:t>）</w:t>
      </w:r>
      <w:r>
        <w:rPr>
          <w:spacing w:val="-5"/>
        </w:rPr>
        <w:t>农村集体统一经营的土地经营权流转</w:t>
      </w:r>
      <w:r>
        <w:rPr/>
        <w:t>（含集体受托流</w:t>
      </w:r>
      <w:r>
        <w:rPr>
          <w:spacing w:val="2"/>
          <w:w w:val="99"/>
        </w:rPr>
        <w:t>转</w:t>
      </w:r>
      <w:r>
        <w:rPr>
          <w:spacing w:val="-159"/>
          <w:w w:val="99"/>
        </w:rPr>
        <w:t>）</w:t>
      </w:r>
      <w:r>
        <w:rPr>
          <w:spacing w:val="-6"/>
          <w:w w:val="99"/>
        </w:rPr>
        <w:t>，面积在</w:t>
      </w:r>
      <w:r>
        <w:rPr>
          <w:spacing w:val="-79"/>
        </w:rPr>
        <w:t> </w:t>
      </w:r>
      <w:r>
        <w:rPr>
          <w:spacing w:val="1"/>
          <w:w w:val="99"/>
        </w:rPr>
        <w:t>1</w:t>
      </w:r>
      <w:r>
        <w:rPr>
          <w:w w:val="99"/>
        </w:rPr>
        <w:t>0</w:t>
      </w:r>
      <w:r>
        <w:rPr>
          <w:spacing w:val="-80"/>
        </w:rPr>
        <w:t> </w:t>
      </w:r>
      <w:r>
        <w:rPr>
          <w:spacing w:val="-9"/>
          <w:w w:val="99"/>
        </w:rPr>
        <w:t>亩以上的耕地、林地、草地、四荒地、养殖水面</w:t>
      </w:r>
      <w:r>
        <w:rPr>
          <w:spacing w:val="-9"/>
        </w:rPr>
        <w:t>等。</w:t>
      </w:r>
    </w:p>
    <w:p>
      <w:pPr>
        <w:pStyle w:val="BodyText"/>
        <w:spacing w:line="328" w:lineRule="auto"/>
        <w:ind w:left="166" w:right="1458" w:firstLine="643"/>
      </w:pPr>
      <w:r>
        <w:rPr/>
        <w:t>（二</w:t>
      </w:r>
      <w:r>
        <w:rPr>
          <w:spacing w:val="-41"/>
        </w:rPr>
        <w:t>）</w:t>
      </w:r>
      <w:r>
        <w:rPr>
          <w:spacing w:val="-7"/>
        </w:rPr>
        <w:t>农村集体林权的流转，包括林地使用权、林木所有权及使用权。</w:t>
      </w:r>
    </w:p>
    <w:p>
      <w:pPr>
        <w:pStyle w:val="BodyText"/>
        <w:spacing w:line="328" w:lineRule="auto"/>
        <w:ind w:left="166" w:right="1458" w:firstLine="643"/>
        <w:jc w:val="both"/>
      </w:pPr>
      <w:r>
        <w:rPr/>
        <w:t>（</w:t>
      </w:r>
      <w:r>
        <w:rPr>
          <w:spacing w:val="5"/>
        </w:rPr>
        <w:t>三</w:t>
      </w:r>
      <w:r>
        <w:rPr/>
        <w:t>）</w:t>
      </w:r>
      <w:r>
        <w:rPr>
          <w:spacing w:val="-5"/>
        </w:rPr>
        <w:t>涉及出租或处置的经济事项合同总金额在 </w:t>
      </w:r>
      <w:r>
        <w:rPr/>
        <w:t>20</w:t>
      </w:r>
      <w:r>
        <w:rPr>
          <w:spacing w:val="-18"/>
        </w:rPr>
        <w:t> 万元以</w:t>
      </w:r>
      <w:r>
        <w:rPr>
          <w:spacing w:val="-16"/>
        </w:rPr>
        <w:t>上的交易事项，包括房屋、物业以及农机具、车辆、农业生产资料等经营性资产的所有权、使用权、经营权。</w:t>
      </w:r>
    </w:p>
    <w:p>
      <w:pPr>
        <w:pStyle w:val="BodyText"/>
        <w:spacing w:line="326" w:lineRule="auto"/>
        <w:ind w:left="166" w:right="1458" w:firstLine="643"/>
      </w:pPr>
      <w:r>
        <w:rPr/>
        <w:t>（四</w:t>
      </w:r>
      <w:r>
        <w:rPr>
          <w:spacing w:val="-63"/>
        </w:rPr>
        <w:t>）</w:t>
      </w:r>
      <w:r>
        <w:rPr>
          <w:spacing w:val="-4"/>
        </w:rPr>
        <w:t>农村集体经济组织及集体企业的无形资产交易，包括著作权、专利权、商标权等。</w:t>
      </w:r>
    </w:p>
    <w:p>
      <w:pPr>
        <w:pStyle w:val="BodyText"/>
        <w:spacing w:line="326" w:lineRule="auto"/>
        <w:ind w:left="166" w:right="1459" w:firstLine="643"/>
      </w:pPr>
      <w:r>
        <w:rPr/>
        <w:t>（五</w:t>
      </w:r>
      <w:r>
        <w:rPr>
          <w:spacing w:val="-130"/>
        </w:rPr>
        <w:t>）</w:t>
      </w:r>
      <w:r>
        <w:rPr/>
        <w:t>农村集体经济组织及集体企业持有的依法可交易的财产权益，包括股权、债权、经营权等。</w:t>
      </w:r>
    </w:p>
    <w:p>
      <w:pPr>
        <w:pStyle w:val="BodyText"/>
        <w:tabs>
          <w:tab w:pos="2091" w:val="left" w:leader="none"/>
        </w:tabs>
        <w:ind w:left="809"/>
      </w:pPr>
      <w:r>
        <w:rPr>
          <w:rFonts w:ascii="黑体" w:eastAsia="黑体" w:hint="eastAsia"/>
        </w:rPr>
        <w:t>第六条</w:t>
        <w:tab/>
      </w:r>
      <w:r>
        <w:rPr/>
        <w:t>鼓励下列交易通过北京农村产权交易所进行：</w:t>
      </w:r>
    </w:p>
    <w:p>
      <w:pPr>
        <w:pStyle w:val="BodyText"/>
        <w:spacing w:line="326" w:lineRule="auto" w:before="147"/>
        <w:ind w:left="166" w:right="1459" w:firstLine="643"/>
      </w:pPr>
      <w:r>
        <w:rPr/>
        <w:t>（一</w:t>
      </w:r>
      <w:r>
        <w:rPr>
          <w:spacing w:val="-130"/>
        </w:rPr>
        <w:t>）</w:t>
      </w:r>
      <w:r>
        <w:rPr/>
        <w:t>其他依法可以交易的涉及农村集体和农业生产领域的相关产权的交易。</w:t>
      </w:r>
    </w:p>
    <w:p>
      <w:pPr>
        <w:pStyle w:val="BodyText"/>
        <w:spacing w:before="3"/>
        <w:ind w:left="809"/>
      </w:pPr>
      <w:r>
        <w:rPr/>
        <w:t>（二）未涉及财政资金投入的农村重大建设事项招投标项</w:t>
      </w:r>
    </w:p>
    <w:p>
      <w:pPr>
        <w:pStyle w:val="BodyText"/>
        <w:spacing w:before="152"/>
        <w:ind w:left="166"/>
      </w:pPr>
      <w:r>
        <w:rPr/>
        <w:t>目。</w:t>
      </w:r>
    </w:p>
    <w:p>
      <w:pPr>
        <w:pStyle w:val="BodyText"/>
        <w:spacing w:before="149"/>
        <w:ind w:left="809"/>
      </w:pPr>
      <w:r>
        <w:rPr/>
        <w:t>（三</w:t>
      </w:r>
      <w:r>
        <w:rPr>
          <w:spacing w:val="-130"/>
        </w:rPr>
        <w:t>）</w:t>
      </w:r>
      <w:r>
        <w:rPr/>
        <w:t>非集体经济组织企业和农民个人所持有的家庭承包土</w:t>
      </w:r>
    </w:p>
    <w:p>
      <w:pPr>
        <w:pStyle w:val="BodyText"/>
        <w:spacing w:before="149"/>
        <w:ind w:left="166"/>
      </w:pPr>
      <w:r>
        <w:rPr/>
        <w:t>地的经营权、股权、资产、知识产权的交易。</w:t>
      </w:r>
    </w:p>
    <w:p>
      <w:pPr>
        <w:spacing w:after="0"/>
        <w:sectPr>
          <w:pgSz w:w="11910" w:h="16840"/>
          <w:pgMar w:header="0" w:footer="1670" w:top="1580" w:bottom="1860" w:left="1420" w:right="0"/>
        </w:sectPr>
      </w:pPr>
    </w:p>
    <w:p>
      <w:pPr>
        <w:pStyle w:val="BodyText"/>
        <w:rPr>
          <w:sz w:val="20"/>
        </w:rPr>
      </w:pPr>
      <w:r>
        <w:rPr/>
        <w:pict>
          <v:shape style="position:absolute;margin-left:14.101753pt;margin-top:401.402161pt;width:576pt;height:48pt;mso-position-horizontal-relative:page;mso-position-vertical-relative:page;z-index:-25216819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1"/>
        <w:rPr>
          <w:sz w:val="24"/>
        </w:rPr>
      </w:pPr>
    </w:p>
    <w:p>
      <w:pPr>
        <w:pStyle w:val="BodyText"/>
        <w:tabs>
          <w:tab w:pos="1283" w:val="left" w:leader="none"/>
        </w:tabs>
        <w:spacing w:before="54"/>
        <w:ind w:right="1297"/>
        <w:jc w:val="center"/>
        <w:rPr>
          <w:rFonts w:ascii="黑体" w:eastAsia="黑体" w:hint="eastAsia"/>
        </w:rPr>
      </w:pPr>
      <w:bookmarkStart w:name="第二章  农村产权流转交易服务体系" w:id="2"/>
      <w:bookmarkEnd w:id="2"/>
      <w:r>
        <w:rPr/>
      </w:r>
      <w:r>
        <w:rPr>
          <w:rFonts w:ascii="黑体" w:eastAsia="黑体" w:hint="eastAsia"/>
        </w:rPr>
        <w:t>第二章</w:t>
        <w:tab/>
        <w:t>农村产权流转交易服务体系</w:t>
      </w:r>
    </w:p>
    <w:p>
      <w:pPr>
        <w:pStyle w:val="BodyText"/>
        <w:spacing w:line="328" w:lineRule="auto" w:before="150"/>
        <w:ind w:left="166" w:right="1458" w:firstLine="643"/>
        <w:jc w:val="both"/>
      </w:pPr>
      <w:r>
        <w:rPr>
          <w:rFonts w:ascii="黑体" w:eastAsia="黑体" w:hint="eastAsia"/>
          <w:spacing w:val="3"/>
        </w:rPr>
        <w:t>第七条 </w:t>
      </w:r>
      <w:r>
        <w:rPr>
          <w:spacing w:val="-8"/>
        </w:rPr>
        <w:t>健全完善农村产权交易服务网络体系，建立区农村</w:t>
      </w:r>
      <w:r>
        <w:rPr>
          <w:spacing w:val="-15"/>
        </w:rPr>
        <w:t>产权交易服务中心、镇农村产权交易服务站和村农村产权交易信息服务点三级农村产权流转交易服务体系。</w:t>
      </w:r>
    </w:p>
    <w:p>
      <w:pPr>
        <w:pStyle w:val="BodyText"/>
        <w:tabs>
          <w:tab w:pos="2131" w:val="left" w:leader="none"/>
        </w:tabs>
        <w:spacing w:line="328" w:lineRule="auto"/>
        <w:ind w:left="166" w:right="1296" w:firstLine="643"/>
      </w:pPr>
      <w:r>
        <w:rPr>
          <w:rFonts w:ascii="黑体" w:eastAsia="黑体" w:hint="eastAsia"/>
          <w:spacing w:val="7"/>
        </w:rPr>
        <w:t>第</w:t>
      </w:r>
      <w:r>
        <w:rPr>
          <w:rFonts w:ascii="黑体" w:eastAsia="黑体" w:hint="eastAsia"/>
          <w:spacing w:val="9"/>
        </w:rPr>
        <w:t>八</w:t>
      </w:r>
      <w:r>
        <w:rPr>
          <w:rFonts w:ascii="黑体" w:eastAsia="黑体" w:hint="eastAsia"/>
        </w:rPr>
        <w:t>条</w:t>
        <w:tab/>
      </w:r>
      <w:r>
        <w:rPr>
          <w:spacing w:val="9"/>
        </w:rPr>
        <w:t>区农业农村局依托北京农村产权交易所大兴联</w:t>
      </w:r>
      <w:r>
        <w:rPr/>
        <w:t>络处</w:t>
      </w:r>
      <w:r>
        <w:rPr>
          <w:spacing w:val="-63"/>
        </w:rPr>
        <w:t>，</w:t>
      </w:r>
      <w:r>
        <w:rPr/>
        <w:t>组建区农村产权交易服务中</w:t>
      </w:r>
      <w:r>
        <w:rPr>
          <w:spacing w:val="-65"/>
        </w:rPr>
        <w:t>心</w:t>
      </w:r>
      <w:r>
        <w:rPr/>
        <w:t>（以下简称区农交服务中心</w:t>
      </w:r>
      <w:r>
        <w:rPr>
          <w:spacing w:val="-159"/>
        </w:rPr>
        <w:t>）</w:t>
      </w:r>
      <w:r>
        <w:rPr/>
        <w:t>。镇政府负责组织健全镇</w:t>
      </w:r>
      <w:r>
        <w:rPr>
          <w:spacing w:val="-63"/>
        </w:rPr>
        <w:t>、</w:t>
      </w:r>
      <w:r>
        <w:rPr/>
        <w:t>村两级农村产权流转交易服务体系</w:t>
      </w:r>
      <w:r>
        <w:rPr>
          <w:spacing w:val="-63"/>
        </w:rPr>
        <w:t>，</w:t>
      </w:r>
      <w:r>
        <w:rPr/>
        <w:t>成立镇农村产权交易服务站（以下简称镇级服务站</w:t>
      </w:r>
      <w:r>
        <w:rPr>
          <w:spacing w:val="-159"/>
        </w:rPr>
        <w:t>）</w:t>
      </w:r>
      <w:r>
        <w:rPr/>
        <w:t>。</w:t>
      </w:r>
    </w:p>
    <w:p>
      <w:pPr>
        <w:pStyle w:val="BodyText"/>
        <w:tabs>
          <w:tab w:pos="2093" w:val="left" w:leader="none"/>
        </w:tabs>
        <w:spacing w:line="328" w:lineRule="auto"/>
        <w:ind w:left="166" w:right="1458" w:firstLine="643"/>
      </w:pPr>
      <w:r>
        <w:rPr>
          <w:rFonts w:ascii="黑体" w:eastAsia="黑体" w:hint="eastAsia"/>
        </w:rPr>
        <w:t>第九条</w:t>
        <w:tab/>
      </w:r>
      <w:r>
        <w:rPr/>
        <w:t>镇级服务站设在经管站</w:t>
      </w:r>
      <w:r>
        <w:rPr>
          <w:spacing w:val="-130"/>
        </w:rPr>
        <w:t>，</w:t>
      </w:r>
      <w:r>
        <w:rPr/>
        <w:t>负责本</w:t>
      </w:r>
      <w:r>
        <w:rPr>
          <w:spacing w:val="5"/>
        </w:rPr>
        <w:t>镇</w:t>
      </w:r>
      <w:r>
        <w:rPr/>
        <w:t>域内农村产权交易的审核、指导、服务、信息报送及档案管理等日常工作。</w:t>
      </w:r>
    </w:p>
    <w:p>
      <w:pPr>
        <w:pStyle w:val="BodyText"/>
        <w:tabs>
          <w:tab w:pos="2093" w:val="left" w:leader="none"/>
        </w:tabs>
        <w:spacing w:line="328" w:lineRule="auto"/>
        <w:ind w:left="166" w:right="1327" w:firstLine="643"/>
      </w:pPr>
      <w:r>
        <w:rPr>
          <w:rFonts w:ascii="黑体" w:eastAsia="黑体" w:hint="eastAsia"/>
        </w:rPr>
        <w:t>第十条</w:t>
        <w:tab/>
      </w:r>
      <w:r>
        <w:rPr/>
        <w:t>村集体经济组织负责设立村产权交易信息服务点， 负责本村集体经济组织产权交易工作的组织实施</w:t>
      </w:r>
      <w:r>
        <w:rPr>
          <w:spacing w:val="-127"/>
        </w:rPr>
        <w:t>、</w:t>
      </w:r>
      <w:r>
        <w:rPr/>
        <w:t>宣传及档案管理等日常工作；负责配合镇级服务站做好相关工作。</w:t>
      </w:r>
    </w:p>
    <w:p>
      <w:pPr>
        <w:pStyle w:val="BodyText"/>
        <w:tabs>
          <w:tab w:pos="1281" w:val="left" w:leader="none"/>
        </w:tabs>
        <w:spacing w:line="405" w:lineRule="exact"/>
        <w:ind w:right="1300"/>
        <w:jc w:val="center"/>
        <w:rPr>
          <w:rFonts w:ascii="黑体" w:eastAsia="黑体" w:hint="eastAsia"/>
        </w:rPr>
      </w:pPr>
      <w:bookmarkStart w:name="第三章  交易形式和程序" w:id="3"/>
      <w:bookmarkEnd w:id="3"/>
      <w:r>
        <w:rPr/>
      </w:r>
      <w:r>
        <w:rPr>
          <w:rFonts w:ascii="黑体" w:eastAsia="黑体" w:hint="eastAsia"/>
        </w:rPr>
        <w:t>第三章</w:t>
        <w:tab/>
        <w:t>交易形式和程序</w:t>
      </w:r>
    </w:p>
    <w:p>
      <w:pPr>
        <w:pStyle w:val="BodyText"/>
        <w:spacing w:line="328" w:lineRule="auto" w:before="133"/>
        <w:ind w:left="166" w:right="1458" w:firstLine="643"/>
        <w:jc w:val="both"/>
      </w:pPr>
      <w:r>
        <w:rPr>
          <w:rFonts w:ascii="黑体" w:eastAsia="黑体" w:hint="eastAsia"/>
          <w:spacing w:val="1"/>
        </w:rPr>
        <w:t>第十一条 </w:t>
      </w:r>
      <w:r>
        <w:rPr>
          <w:spacing w:val="-9"/>
        </w:rPr>
        <w:t>农村产权交易可以采取协议、拍卖、招投标、网</w:t>
      </w:r>
      <w:r>
        <w:rPr>
          <w:spacing w:val="-15"/>
        </w:rPr>
        <w:t>络竞价等方式，也可以采取法律、法规、规章及上级部门政策文件规定的其他方式。</w:t>
      </w:r>
    </w:p>
    <w:p>
      <w:pPr>
        <w:pStyle w:val="BodyText"/>
        <w:spacing w:line="328" w:lineRule="auto"/>
        <w:ind w:left="166" w:right="1327" w:firstLine="643"/>
      </w:pPr>
      <w:r>
        <w:rPr/>
        <w:t>采取拍卖的交易方式，应当按照《中华人民共和国拍卖法》及有关规定组织实施。</w:t>
      </w:r>
    </w:p>
    <w:p>
      <w:pPr>
        <w:pStyle w:val="BodyText"/>
        <w:spacing w:line="407" w:lineRule="exact"/>
        <w:ind w:left="809"/>
      </w:pPr>
      <w:r>
        <w:rPr/>
        <w:t>采取招投标的交易方式，应当按照国家有关规定组织实施。</w:t>
      </w:r>
    </w:p>
    <w:p>
      <w:pPr>
        <w:pStyle w:val="BodyText"/>
        <w:tabs>
          <w:tab w:pos="2415" w:val="left" w:leader="none"/>
        </w:tabs>
        <w:spacing w:line="328" w:lineRule="auto" w:before="145"/>
        <w:ind w:left="166" w:right="1458" w:firstLine="643"/>
      </w:pPr>
      <w:r>
        <w:rPr>
          <w:rFonts w:ascii="黑体" w:eastAsia="黑体" w:hint="eastAsia"/>
        </w:rPr>
        <w:t>第十二条</w:t>
        <w:tab/>
      </w:r>
      <w:r>
        <w:rPr/>
        <w:t>通过北京农村产权交易所进行交易的项目</w:t>
      </w:r>
      <w:r>
        <w:rPr>
          <w:spacing w:val="-130"/>
        </w:rPr>
        <w:t>，</w:t>
      </w:r>
      <w:r>
        <w:rPr/>
        <w:t>一般按以下程序进行：</w:t>
      </w:r>
    </w:p>
    <w:p>
      <w:pPr>
        <w:spacing w:after="0" w:line="328" w:lineRule="auto"/>
        <w:sectPr>
          <w:pgSz w:w="11910" w:h="16840"/>
          <w:pgMar w:header="0" w:footer="1670" w:top="1580" w:bottom="1860" w:left="1420" w:right="0"/>
        </w:sectPr>
      </w:pPr>
    </w:p>
    <w:p>
      <w:pPr>
        <w:pStyle w:val="BodyText"/>
        <w:rPr>
          <w:sz w:val="20"/>
        </w:rPr>
      </w:pPr>
      <w:r>
        <w:rPr/>
        <w:pict>
          <v:shape style="position:absolute;margin-left:14.101753pt;margin-top:401.402161pt;width:576pt;height:48pt;mso-position-horizontal-relative:page;mso-position-vertical-relative:page;z-index:-25216716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1"/>
        <w:rPr>
          <w:sz w:val="24"/>
        </w:rPr>
      </w:pPr>
    </w:p>
    <w:p>
      <w:pPr>
        <w:pStyle w:val="BodyText"/>
        <w:spacing w:line="328" w:lineRule="auto" w:before="54"/>
        <w:ind w:left="166" w:right="1296" w:firstLine="643"/>
      </w:pPr>
      <w:r>
        <w:rPr/>
        <w:t>（一</w:t>
      </w:r>
      <w:r>
        <w:rPr>
          <w:spacing w:val="-144"/>
        </w:rPr>
        <w:t>）</w:t>
      </w:r>
      <w:r>
        <w:rPr>
          <w:spacing w:val="-13"/>
        </w:rPr>
        <w:t>交易准备。农村集体经济组织或集体企业为出让方的， </w:t>
      </w:r>
      <w:r>
        <w:rPr>
          <w:spacing w:val="6"/>
        </w:rPr>
        <w:t>各镇落实属地管理责任，指导出让方落实好交易的各项准备工</w:t>
      </w:r>
      <w:r>
        <w:rPr>
          <w:spacing w:val="-12"/>
        </w:rPr>
        <w:t>作。出让方进行民主决策，形成产权交易决议。决议内容包括权属、面积、用途、土地性质、证照、交易截止时间、拟出让金额等。</w:t>
      </w:r>
    </w:p>
    <w:p>
      <w:pPr>
        <w:pStyle w:val="BodyText"/>
        <w:spacing w:line="328" w:lineRule="auto"/>
        <w:ind w:left="166" w:right="1296" w:firstLine="643"/>
      </w:pPr>
      <w:r>
        <w:rPr/>
        <w:t>（二</w:t>
      </w:r>
      <w:r>
        <w:rPr>
          <w:spacing w:val="-144"/>
        </w:rPr>
        <w:t>）</w:t>
      </w:r>
      <w:r>
        <w:rPr>
          <w:spacing w:val="-13"/>
        </w:rPr>
        <w:t>交易申请。出让方在履行民主决策和审核审批程序后， 向镇农村产权交易服务站提出书面申请，并提供下列材料：</w:t>
      </w:r>
    </w:p>
    <w:p>
      <w:pPr>
        <w:pStyle w:val="ListParagraph"/>
        <w:numPr>
          <w:ilvl w:val="0"/>
          <w:numId w:val="1"/>
        </w:numPr>
        <w:tabs>
          <w:tab w:pos="1131" w:val="left" w:leader="none"/>
        </w:tabs>
        <w:spacing w:line="407" w:lineRule="exact" w:before="0" w:after="0"/>
        <w:ind w:left="1130" w:right="0" w:hanging="322"/>
        <w:jc w:val="left"/>
        <w:rPr>
          <w:sz w:val="32"/>
        </w:rPr>
      </w:pPr>
      <w:r>
        <w:rPr>
          <w:sz w:val="32"/>
        </w:rPr>
        <w:t>农村产权交易申请表；</w:t>
      </w:r>
    </w:p>
    <w:p>
      <w:pPr>
        <w:pStyle w:val="ListParagraph"/>
        <w:numPr>
          <w:ilvl w:val="0"/>
          <w:numId w:val="1"/>
        </w:numPr>
        <w:tabs>
          <w:tab w:pos="1131" w:val="left" w:leader="none"/>
        </w:tabs>
        <w:spacing w:line="240" w:lineRule="auto" w:before="139" w:after="0"/>
        <w:ind w:left="1130" w:right="0" w:hanging="322"/>
        <w:jc w:val="left"/>
        <w:rPr>
          <w:sz w:val="32"/>
        </w:rPr>
      </w:pPr>
      <w:r>
        <w:rPr>
          <w:sz w:val="32"/>
        </w:rPr>
        <w:t>农村产权交易方案；</w:t>
      </w:r>
    </w:p>
    <w:p>
      <w:pPr>
        <w:pStyle w:val="ListParagraph"/>
        <w:numPr>
          <w:ilvl w:val="0"/>
          <w:numId w:val="1"/>
        </w:numPr>
        <w:tabs>
          <w:tab w:pos="1131" w:val="left" w:leader="none"/>
        </w:tabs>
        <w:spacing w:line="240" w:lineRule="auto" w:before="152" w:after="0"/>
        <w:ind w:left="1130" w:right="0" w:hanging="322"/>
        <w:jc w:val="left"/>
        <w:rPr>
          <w:sz w:val="32"/>
        </w:rPr>
      </w:pPr>
      <w:r>
        <w:rPr>
          <w:sz w:val="32"/>
        </w:rPr>
        <w:t>农村产权交易民主决议记录；</w:t>
      </w:r>
    </w:p>
    <w:p>
      <w:pPr>
        <w:pStyle w:val="ListParagraph"/>
        <w:numPr>
          <w:ilvl w:val="0"/>
          <w:numId w:val="1"/>
        </w:numPr>
        <w:tabs>
          <w:tab w:pos="1131" w:val="left" w:leader="none"/>
        </w:tabs>
        <w:spacing w:line="240" w:lineRule="auto" w:before="149" w:after="0"/>
        <w:ind w:left="1130" w:right="0" w:hanging="322"/>
        <w:jc w:val="left"/>
        <w:rPr>
          <w:sz w:val="32"/>
        </w:rPr>
      </w:pPr>
      <w:r>
        <w:rPr>
          <w:sz w:val="32"/>
        </w:rPr>
        <w:t>镇政府审批意见；</w:t>
      </w:r>
    </w:p>
    <w:p>
      <w:pPr>
        <w:pStyle w:val="ListParagraph"/>
        <w:numPr>
          <w:ilvl w:val="0"/>
          <w:numId w:val="1"/>
        </w:numPr>
        <w:tabs>
          <w:tab w:pos="1131" w:val="left" w:leader="none"/>
        </w:tabs>
        <w:spacing w:line="240" w:lineRule="auto" w:before="149" w:after="0"/>
        <w:ind w:left="1130" w:right="0" w:hanging="322"/>
        <w:jc w:val="left"/>
        <w:rPr>
          <w:sz w:val="32"/>
        </w:rPr>
      </w:pPr>
      <w:r>
        <w:rPr>
          <w:sz w:val="32"/>
        </w:rPr>
        <w:t>出让方的有效资格证明；</w:t>
      </w:r>
    </w:p>
    <w:p>
      <w:pPr>
        <w:pStyle w:val="ListParagraph"/>
        <w:numPr>
          <w:ilvl w:val="0"/>
          <w:numId w:val="1"/>
        </w:numPr>
        <w:tabs>
          <w:tab w:pos="1131" w:val="left" w:leader="none"/>
        </w:tabs>
        <w:spacing w:line="240" w:lineRule="auto" w:before="152" w:after="0"/>
        <w:ind w:left="1130" w:right="0" w:hanging="322"/>
        <w:jc w:val="left"/>
        <w:rPr>
          <w:sz w:val="32"/>
        </w:rPr>
      </w:pPr>
      <w:r>
        <w:rPr>
          <w:sz w:val="32"/>
        </w:rPr>
        <w:t>出让方产权权属有效证明；</w:t>
      </w:r>
    </w:p>
    <w:p>
      <w:pPr>
        <w:pStyle w:val="ListParagraph"/>
        <w:numPr>
          <w:ilvl w:val="0"/>
          <w:numId w:val="1"/>
        </w:numPr>
        <w:tabs>
          <w:tab w:pos="1131" w:val="left" w:leader="none"/>
        </w:tabs>
        <w:spacing w:line="240" w:lineRule="auto" w:before="149" w:after="0"/>
        <w:ind w:left="1130" w:right="0" w:hanging="322"/>
        <w:jc w:val="left"/>
        <w:rPr>
          <w:sz w:val="32"/>
        </w:rPr>
      </w:pPr>
      <w:r>
        <w:rPr>
          <w:sz w:val="32"/>
        </w:rPr>
        <w:t>法律、法规和政策规定要求提交的材料；</w:t>
      </w:r>
    </w:p>
    <w:p>
      <w:pPr>
        <w:pStyle w:val="ListParagraph"/>
        <w:numPr>
          <w:ilvl w:val="0"/>
          <w:numId w:val="1"/>
        </w:numPr>
        <w:tabs>
          <w:tab w:pos="1131" w:val="left" w:leader="none"/>
        </w:tabs>
        <w:spacing w:line="240" w:lineRule="auto" w:before="149" w:after="0"/>
        <w:ind w:left="1130" w:right="0" w:hanging="322"/>
        <w:jc w:val="left"/>
        <w:rPr>
          <w:sz w:val="32"/>
        </w:rPr>
      </w:pPr>
      <w:r>
        <w:rPr>
          <w:sz w:val="32"/>
        </w:rPr>
        <w:t>北京农村产权交易所要求的其他材料。</w:t>
      </w:r>
    </w:p>
    <w:p>
      <w:pPr>
        <w:pStyle w:val="BodyText"/>
        <w:spacing w:line="326" w:lineRule="auto" w:before="152"/>
        <w:ind w:left="166" w:right="1457" w:firstLine="643"/>
      </w:pPr>
      <w:r>
        <w:rPr/>
        <w:t>（三</w:t>
      </w:r>
      <w:r>
        <w:rPr>
          <w:spacing w:val="-41"/>
        </w:rPr>
        <w:t>）</w:t>
      </w:r>
      <w:r>
        <w:rPr>
          <w:spacing w:val="-10"/>
        </w:rPr>
        <w:t>评估审定。遇重大项目事项，产权方可委托专业评估机构进行评估。</w:t>
      </w:r>
    </w:p>
    <w:p>
      <w:pPr>
        <w:pStyle w:val="BodyText"/>
        <w:spacing w:line="328" w:lineRule="auto" w:before="3"/>
        <w:ind w:left="166" w:right="1458" w:firstLine="643"/>
        <w:jc w:val="both"/>
      </w:pPr>
      <w:r>
        <w:rPr/>
        <w:t>（四</w:t>
      </w:r>
      <w:r>
        <w:rPr>
          <w:spacing w:val="-63"/>
        </w:rPr>
        <w:t>）</w:t>
      </w:r>
      <w:r>
        <w:rPr>
          <w:spacing w:val="-8"/>
        </w:rPr>
        <w:t>受理登记。镇农村产权交易服务站对出让方提交的产</w:t>
      </w:r>
      <w:r>
        <w:rPr>
          <w:spacing w:val="-15"/>
        </w:rPr>
        <w:t>权交易申请进行审核，登记备案并上报区经管站，区经管站审核通过后，通报北京农村产权交易所。</w:t>
      </w:r>
    </w:p>
    <w:p>
      <w:pPr>
        <w:pStyle w:val="BodyText"/>
        <w:spacing w:line="328" w:lineRule="auto"/>
        <w:ind w:left="166" w:right="1457" w:firstLine="643"/>
      </w:pPr>
      <w:r>
        <w:rPr/>
        <w:t>（五</w:t>
      </w:r>
      <w:r>
        <w:rPr>
          <w:spacing w:val="-63"/>
        </w:rPr>
        <w:t>）</w:t>
      </w:r>
      <w:r>
        <w:rPr>
          <w:spacing w:val="-8"/>
        </w:rPr>
        <w:t>制定公告。出让方在产权出让公告中明确标的基本情</w:t>
      </w:r>
      <w:r>
        <w:rPr>
          <w:spacing w:val="-13"/>
        </w:rPr>
        <w:t>况、交易条件、受让方资格条件、对产权交易有重大影响的相关</w:t>
      </w:r>
    </w:p>
    <w:p>
      <w:pPr>
        <w:spacing w:after="0" w:line="328" w:lineRule="auto"/>
        <w:sectPr>
          <w:pgSz w:w="11910" w:h="16840"/>
          <w:pgMar w:header="0" w:footer="1670" w:top="1580" w:bottom="1860" w:left="1420" w:right="0"/>
        </w:sectPr>
      </w:pPr>
    </w:p>
    <w:p>
      <w:pPr>
        <w:pStyle w:val="BodyText"/>
        <w:rPr>
          <w:sz w:val="20"/>
        </w:rPr>
      </w:pPr>
      <w:r>
        <w:rPr/>
        <w:pict>
          <v:shape style="position:absolute;margin-left:14.101753pt;margin-top:401.402161pt;width:576pt;height:48pt;mso-position-horizontal-relative:page;mso-position-vertical-relative:page;z-index:-25216614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1"/>
        <w:rPr>
          <w:sz w:val="24"/>
        </w:rPr>
      </w:pPr>
    </w:p>
    <w:p>
      <w:pPr>
        <w:pStyle w:val="BodyText"/>
        <w:spacing w:before="54"/>
        <w:ind w:left="166"/>
      </w:pPr>
      <w:r>
        <w:rPr/>
        <w:t>信息、竞价方式等内容，由北京农村产权交易所负责进行公告。</w:t>
      </w:r>
    </w:p>
    <w:p>
      <w:pPr>
        <w:pStyle w:val="BodyText"/>
        <w:spacing w:line="326" w:lineRule="auto" w:before="150"/>
        <w:ind w:left="166" w:right="1458" w:firstLine="643"/>
      </w:pPr>
      <w:r>
        <w:rPr/>
        <w:t>（六</w:t>
      </w:r>
      <w:r>
        <w:rPr>
          <w:spacing w:val="-41"/>
        </w:rPr>
        <w:t>）</w:t>
      </w:r>
      <w:r>
        <w:rPr>
          <w:spacing w:val="-9"/>
        </w:rPr>
        <w:t>受让登记。交易项目在信息公告期限内，意向受让方应向北京农村产权交易所提交下列材料：</w:t>
      </w:r>
    </w:p>
    <w:p>
      <w:pPr>
        <w:pStyle w:val="ListParagraph"/>
        <w:numPr>
          <w:ilvl w:val="0"/>
          <w:numId w:val="2"/>
        </w:numPr>
        <w:tabs>
          <w:tab w:pos="1131" w:val="left" w:leader="none"/>
        </w:tabs>
        <w:spacing w:line="240" w:lineRule="auto" w:before="5" w:after="0"/>
        <w:ind w:left="1130" w:right="0" w:hanging="322"/>
        <w:jc w:val="left"/>
        <w:rPr>
          <w:sz w:val="32"/>
        </w:rPr>
      </w:pPr>
      <w:r>
        <w:rPr>
          <w:sz w:val="32"/>
        </w:rPr>
        <w:t>受让申请；</w:t>
      </w:r>
    </w:p>
    <w:p>
      <w:pPr>
        <w:pStyle w:val="ListParagraph"/>
        <w:numPr>
          <w:ilvl w:val="0"/>
          <w:numId w:val="2"/>
        </w:numPr>
        <w:tabs>
          <w:tab w:pos="1131" w:val="left" w:leader="none"/>
        </w:tabs>
        <w:spacing w:line="240" w:lineRule="auto" w:before="149" w:after="0"/>
        <w:ind w:left="1130" w:right="0" w:hanging="322"/>
        <w:jc w:val="left"/>
        <w:rPr>
          <w:sz w:val="32"/>
        </w:rPr>
      </w:pPr>
      <w:r>
        <w:rPr>
          <w:sz w:val="32"/>
        </w:rPr>
        <w:t>受让方的资格证明；</w:t>
      </w:r>
    </w:p>
    <w:p>
      <w:pPr>
        <w:pStyle w:val="ListParagraph"/>
        <w:numPr>
          <w:ilvl w:val="0"/>
          <w:numId w:val="2"/>
        </w:numPr>
        <w:tabs>
          <w:tab w:pos="1131" w:val="left" w:leader="none"/>
        </w:tabs>
        <w:spacing w:line="240" w:lineRule="auto" w:before="150" w:after="0"/>
        <w:ind w:left="1130" w:right="0" w:hanging="322"/>
        <w:jc w:val="left"/>
        <w:rPr>
          <w:sz w:val="32"/>
        </w:rPr>
      </w:pPr>
      <w:r>
        <w:rPr>
          <w:sz w:val="32"/>
        </w:rPr>
        <w:t>受让方的资信证明；</w:t>
      </w:r>
    </w:p>
    <w:p>
      <w:pPr>
        <w:pStyle w:val="ListParagraph"/>
        <w:numPr>
          <w:ilvl w:val="0"/>
          <w:numId w:val="2"/>
        </w:numPr>
        <w:tabs>
          <w:tab w:pos="1131" w:val="left" w:leader="none"/>
        </w:tabs>
        <w:spacing w:line="240" w:lineRule="auto" w:before="151" w:after="0"/>
        <w:ind w:left="1130" w:right="0" w:hanging="322"/>
        <w:jc w:val="left"/>
        <w:rPr>
          <w:sz w:val="32"/>
        </w:rPr>
      </w:pPr>
      <w:r>
        <w:rPr>
          <w:sz w:val="32"/>
        </w:rPr>
        <w:t>法律、法规和政策规定需要提交的材料；</w:t>
      </w:r>
    </w:p>
    <w:p>
      <w:pPr>
        <w:pStyle w:val="ListParagraph"/>
        <w:numPr>
          <w:ilvl w:val="0"/>
          <w:numId w:val="2"/>
        </w:numPr>
        <w:tabs>
          <w:tab w:pos="1131" w:val="left" w:leader="none"/>
        </w:tabs>
        <w:spacing w:line="240" w:lineRule="auto" w:before="149" w:after="0"/>
        <w:ind w:left="1130" w:right="0" w:hanging="322"/>
        <w:jc w:val="left"/>
        <w:rPr>
          <w:sz w:val="32"/>
        </w:rPr>
      </w:pPr>
      <w:r>
        <w:rPr>
          <w:sz w:val="32"/>
        </w:rPr>
        <w:t>北京农村产权交易所需要提交的其他材料。</w:t>
      </w:r>
    </w:p>
    <w:p>
      <w:pPr>
        <w:pStyle w:val="BodyText"/>
        <w:spacing w:line="328" w:lineRule="auto" w:before="150"/>
        <w:ind w:left="166" w:right="1327" w:firstLine="643"/>
      </w:pPr>
      <w:r>
        <w:rPr/>
        <w:t>北京农村产权交易所对意向受让方提交的材料进行齐全性、</w:t>
      </w:r>
      <w:r>
        <w:rPr>
          <w:spacing w:val="-12"/>
        </w:rPr>
        <w:t>合规性审核，严格执行《北京市新增产业禁止和限制目录》的规定。对通过登记审核的出具产权受让登记通知书。</w:t>
      </w:r>
    </w:p>
    <w:p>
      <w:pPr>
        <w:pStyle w:val="BodyText"/>
        <w:spacing w:line="328" w:lineRule="auto"/>
        <w:ind w:left="166" w:right="1458" w:firstLine="643"/>
      </w:pPr>
      <w:r>
        <w:rPr/>
        <w:t>（七</w:t>
      </w:r>
      <w:r>
        <w:rPr>
          <w:spacing w:val="-41"/>
        </w:rPr>
        <w:t>）</w:t>
      </w:r>
      <w:r>
        <w:rPr>
          <w:spacing w:val="-11"/>
        </w:rPr>
        <w:t>组织交易。公告期满后，北京农村产权交易所组织交易双方按照产权出让公告约定的方式公开交易。</w:t>
      </w:r>
    </w:p>
    <w:p>
      <w:pPr>
        <w:pStyle w:val="BodyText"/>
        <w:spacing w:line="328" w:lineRule="auto"/>
        <w:ind w:left="166" w:right="1458" w:firstLine="643"/>
        <w:jc w:val="both"/>
      </w:pPr>
      <w:r>
        <w:rPr/>
        <w:t>（八</w:t>
      </w:r>
      <w:r>
        <w:rPr>
          <w:spacing w:val="-41"/>
        </w:rPr>
        <w:t>）</w:t>
      </w:r>
      <w:r>
        <w:rPr>
          <w:spacing w:val="-7"/>
        </w:rPr>
        <w:t>合同联预审及组织签约。在确定受让方后，需完成合</w:t>
      </w:r>
      <w:r>
        <w:rPr>
          <w:spacing w:val="-13"/>
        </w:rPr>
        <w:t>同联预审，其中在区级联预审范围以外的，全部纳入镇级联预审范围，联审结果由镇农村产权交易服务站报区农交服务中心。通</w:t>
      </w:r>
      <w:r>
        <w:rPr>
          <w:spacing w:val="-16"/>
        </w:rPr>
        <w:t>过合同联预审的，由北京农村产权交易所组织双方签订产权交易合同。</w:t>
      </w:r>
    </w:p>
    <w:p>
      <w:pPr>
        <w:pStyle w:val="BodyText"/>
        <w:spacing w:line="326" w:lineRule="auto"/>
        <w:ind w:left="166" w:right="1327" w:firstLine="643"/>
      </w:pPr>
      <w:r>
        <w:rPr/>
        <w:t>（九）完成结算。受让方应在产权交易合同约定的期限内， 将合同价款支付给出让方。</w:t>
      </w:r>
    </w:p>
    <w:p>
      <w:pPr>
        <w:pStyle w:val="BodyText"/>
        <w:spacing w:line="328" w:lineRule="auto"/>
        <w:ind w:left="166" w:right="1458" w:firstLine="643"/>
      </w:pPr>
      <w:r>
        <w:rPr/>
        <w:t>（十</w:t>
      </w:r>
      <w:r>
        <w:rPr>
          <w:spacing w:val="-41"/>
        </w:rPr>
        <w:t>）</w:t>
      </w:r>
      <w:r>
        <w:rPr>
          <w:spacing w:val="-9"/>
        </w:rPr>
        <w:t>交易确认。受让方对交易事项进行确认后，出让方应将交易结果进行公布，接受群众监督。</w:t>
      </w:r>
    </w:p>
    <w:p>
      <w:pPr>
        <w:spacing w:after="0" w:line="328" w:lineRule="auto"/>
        <w:sectPr>
          <w:pgSz w:w="11910" w:h="16840"/>
          <w:pgMar w:header="0" w:footer="1670" w:top="1580" w:bottom="1860" w:left="1420" w:right="0"/>
        </w:sectPr>
      </w:pPr>
    </w:p>
    <w:p>
      <w:pPr>
        <w:pStyle w:val="BodyText"/>
        <w:rPr>
          <w:sz w:val="20"/>
        </w:rPr>
      </w:pPr>
      <w:r>
        <w:rPr/>
        <w:pict>
          <v:shape style="position:absolute;margin-left:14.101753pt;margin-top:401.402161pt;width:576pt;height:48pt;mso-position-horizontal-relative:page;mso-position-vertical-relative:page;z-index:-25216512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1"/>
        <w:rPr>
          <w:sz w:val="24"/>
        </w:rPr>
      </w:pPr>
    </w:p>
    <w:p>
      <w:pPr>
        <w:pStyle w:val="BodyText"/>
        <w:spacing w:line="326" w:lineRule="auto" w:before="54"/>
        <w:ind w:left="166" w:right="1458" w:firstLine="643"/>
      </w:pPr>
      <w:r>
        <w:rPr/>
        <w:t>（十一</w:t>
      </w:r>
      <w:r>
        <w:rPr>
          <w:spacing w:val="-41"/>
        </w:rPr>
        <w:t>）</w:t>
      </w:r>
      <w:r>
        <w:rPr>
          <w:spacing w:val="-10"/>
        </w:rPr>
        <w:t>归档备查。交易成功并签订合同后，交易项目资料由村、镇合同管理部门及北京农村产权交易所分别归档。</w:t>
      </w:r>
    </w:p>
    <w:p>
      <w:pPr>
        <w:pStyle w:val="BodyText"/>
        <w:tabs>
          <w:tab w:pos="4272" w:val="left" w:leader="none"/>
        </w:tabs>
        <w:spacing w:before="4"/>
        <w:ind w:left="2988"/>
        <w:rPr>
          <w:rFonts w:ascii="黑体" w:eastAsia="黑体" w:hint="eastAsia"/>
        </w:rPr>
      </w:pPr>
      <w:bookmarkStart w:name="第四章  规范交易行为" w:id="4"/>
      <w:bookmarkEnd w:id="4"/>
      <w:r>
        <w:rPr/>
      </w:r>
      <w:r>
        <w:rPr>
          <w:rFonts w:ascii="黑体" w:eastAsia="黑体" w:hint="eastAsia"/>
        </w:rPr>
        <w:t>第四章</w:t>
        <w:tab/>
        <w:t>规范交易行为</w:t>
      </w:r>
    </w:p>
    <w:p>
      <w:pPr>
        <w:pStyle w:val="BodyText"/>
        <w:tabs>
          <w:tab w:pos="2415" w:val="left" w:leader="none"/>
        </w:tabs>
        <w:spacing w:line="328" w:lineRule="auto" w:before="151"/>
        <w:ind w:left="166" w:right="1327" w:firstLine="643"/>
      </w:pPr>
      <w:r>
        <w:rPr>
          <w:rFonts w:ascii="黑体" w:eastAsia="黑体" w:hint="eastAsia"/>
        </w:rPr>
        <w:t>第十三条</w:t>
        <w:tab/>
      </w:r>
      <w:r>
        <w:rPr/>
        <w:t>在农村产权交易过程中，出现下列情形之一的， 经镇农村产权交易服务站核实后反映给区经管站</w:t>
      </w:r>
      <w:r>
        <w:rPr>
          <w:spacing w:val="-127"/>
        </w:rPr>
        <w:t>，</w:t>
      </w:r>
      <w:r>
        <w:rPr/>
        <w:t>区经管站确认后反馈给北京农村产权交易所</w:t>
      </w:r>
      <w:r>
        <w:rPr>
          <w:spacing w:val="-130"/>
        </w:rPr>
        <w:t>，</w:t>
      </w:r>
      <w:r>
        <w:rPr/>
        <w:t>由北京农村产权交易所负责中止交易：</w:t>
      </w:r>
    </w:p>
    <w:p>
      <w:pPr>
        <w:pStyle w:val="BodyText"/>
        <w:spacing w:line="402" w:lineRule="exact"/>
        <w:ind w:left="809"/>
      </w:pPr>
      <w:r>
        <w:rPr/>
        <w:t>（一）出让方或与产权有直接关系的第三方提出正当理由</w:t>
      </w:r>
    </w:p>
    <w:p>
      <w:pPr>
        <w:pStyle w:val="BodyText"/>
        <w:spacing w:before="149"/>
        <w:ind w:left="166"/>
      </w:pPr>
      <w:r>
        <w:rPr/>
        <w:t>的。</w:t>
      </w:r>
    </w:p>
    <w:p>
      <w:pPr>
        <w:pStyle w:val="BodyText"/>
        <w:spacing w:before="152"/>
        <w:ind w:left="809"/>
      </w:pPr>
      <w:r>
        <w:rPr/>
        <w:t>（二）产权存在权属争议的。</w:t>
      </w:r>
    </w:p>
    <w:p>
      <w:pPr>
        <w:pStyle w:val="BodyText"/>
        <w:spacing w:before="149"/>
        <w:ind w:left="809"/>
      </w:pPr>
      <w:r>
        <w:rPr/>
        <w:t>（三</w:t>
      </w:r>
      <w:r>
        <w:rPr>
          <w:spacing w:val="-130"/>
        </w:rPr>
        <w:t>）</w:t>
      </w:r>
      <w:r>
        <w:rPr/>
        <w:t>因不可抗力致使产权交易活动不能按约定的期限和程</w:t>
      </w:r>
    </w:p>
    <w:p>
      <w:pPr>
        <w:pStyle w:val="BodyText"/>
        <w:spacing w:before="149"/>
        <w:ind w:left="166"/>
      </w:pPr>
      <w:r>
        <w:rPr/>
        <w:t>序进行的。</w:t>
      </w:r>
    </w:p>
    <w:p>
      <w:pPr>
        <w:pStyle w:val="BodyText"/>
        <w:spacing w:before="152"/>
        <w:ind w:left="809"/>
      </w:pPr>
      <w:r>
        <w:rPr/>
        <w:t>（四）其他依法应当中止交易的情形。</w:t>
      </w:r>
    </w:p>
    <w:p>
      <w:pPr>
        <w:pStyle w:val="BodyText"/>
        <w:spacing w:line="328" w:lineRule="auto" w:before="149"/>
        <w:ind w:left="166" w:right="1458" w:firstLine="643"/>
        <w:jc w:val="both"/>
      </w:pPr>
      <w:r>
        <w:rPr>
          <w:rFonts w:ascii="黑体" w:eastAsia="黑体" w:hint="eastAsia"/>
          <w:spacing w:val="2"/>
        </w:rPr>
        <w:t>第十四条 </w:t>
      </w:r>
      <w:r>
        <w:rPr>
          <w:spacing w:val="-7"/>
        </w:rPr>
        <w:t>农村产权交易项目的中止期限不超过三十天。导</w:t>
      </w:r>
      <w:r>
        <w:rPr>
          <w:spacing w:val="-13"/>
        </w:rPr>
        <w:t>致交易活动不能按规定程序正常进行的情形消除后，由北京农村产权交易所负责恢复交易。</w:t>
      </w:r>
    </w:p>
    <w:p>
      <w:pPr>
        <w:pStyle w:val="BodyText"/>
        <w:tabs>
          <w:tab w:pos="2415" w:val="left" w:leader="none"/>
        </w:tabs>
        <w:spacing w:line="328" w:lineRule="auto"/>
        <w:ind w:left="166" w:right="1327" w:firstLine="643"/>
      </w:pPr>
      <w:r>
        <w:rPr>
          <w:rFonts w:ascii="黑体" w:eastAsia="黑体" w:hint="eastAsia"/>
        </w:rPr>
        <w:t>第十五条</w:t>
        <w:tab/>
      </w:r>
      <w:r>
        <w:rPr/>
        <w:t>在农村产权交易过程中，出现下列情形之一的， 经镇农村产权交易服务站核实后反映给区经管站</w:t>
      </w:r>
      <w:r>
        <w:rPr>
          <w:spacing w:val="-127"/>
        </w:rPr>
        <w:t>，</w:t>
      </w:r>
      <w:r>
        <w:rPr/>
        <w:t>区经管站确认后反馈给北京农村产权交易所</w:t>
      </w:r>
      <w:r>
        <w:rPr>
          <w:spacing w:val="-130"/>
        </w:rPr>
        <w:t>，</w:t>
      </w:r>
      <w:r>
        <w:rPr/>
        <w:t>由北京农村产权交易所负责终结交易：</w:t>
      </w:r>
    </w:p>
    <w:p>
      <w:pPr>
        <w:pStyle w:val="BodyText"/>
        <w:spacing w:line="328" w:lineRule="auto"/>
        <w:ind w:left="166" w:right="1458" w:firstLine="643"/>
      </w:pPr>
      <w:r>
        <w:rPr/>
        <w:t>（一</w:t>
      </w:r>
      <w:r>
        <w:rPr>
          <w:spacing w:val="-130"/>
        </w:rPr>
        <w:t>）</w:t>
      </w:r>
      <w:r>
        <w:rPr/>
        <w:t>出让方或与产权有直接关系的第三方提出终结交易书面申请的。</w:t>
      </w:r>
    </w:p>
    <w:p>
      <w:pPr>
        <w:spacing w:after="0" w:line="328" w:lineRule="auto"/>
        <w:sectPr>
          <w:pgSz w:w="11910" w:h="16840"/>
          <w:pgMar w:header="0" w:footer="1670" w:top="1580" w:bottom="1860" w:left="1420" w:right="0"/>
        </w:sectPr>
      </w:pPr>
    </w:p>
    <w:p>
      <w:pPr>
        <w:pStyle w:val="BodyText"/>
        <w:rPr>
          <w:sz w:val="20"/>
        </w:rPr>
      </w:pPr>
      <w:r>
        <w:rPr/>
        <w:pict>
          <v:shape style="position:absolute;margin-left:14.101753pt;margin-top:401.402161pt;width:576pt;height:48pt;mso-position-horizontal-relative:page;mso-position-vertical-relative:page;z-index:-25216409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1"/>
        <w:rPr>
          <w:sz w:val="24"/>
        </w:rPr>
      </w:pPr>
    </w:p>
    <w:p>
      <w:pPr>
        <w:pStyle w:val="BodyText"/>
        <w:spacing w:before="54"/>
        <w:ind w:left="809"/>
      </w:pPr>
      <w:r>
        <w:rPr/>
        <w:t>（二）人民法院依法发出终结交易书面通知的。</w:t>
      </w:r>
    </w:p>
    <w:p>
      <w:pPr>
        <w:pStyle w:val="BodyText"/>
        <w:spacing w:line="326" w:lineRule="auto" w:before="150"/>
        <w:ind w:left="166" w:right="1457" w:firstLine="643"/>
      </w:pPr>
      <w:r>
        <w:rPr/>
        <w:t>（三</w:t>
      </w:r>
      <w:r>
        <w:rPr>
          <w:spacing w:val="-63"/>
        </w:rPr>
        <w:t>）</w:t>
      </w:r>
      <w:r>
        <w:rPr>
          <w:spacing w:val="-8"/>
        </w:rPr>
        <w:t>中止期限届满后，仍未能消除影响交易中止的因素导致交易无法继续进行的。</w:t>
      </w:r>
    </w:p>
    <w:p>
      <w:pPr>
        <w:pStyle w:val="BodyText"/>
        <w:spacing w:before="5"/>
        <w:ind w:left="809"/>
      </w:pPr>
      <w:r>
        <w:rPr/>
        <w:t>（四）其他依法应当终结产权交易的情形。</w:t>
      </w:r>
    </w:p>
    <w:p>
      <w:pPr>
        <w:pStyle w:val="BodyText"/>
        <w:tabs>
          <w:tab w:pos="2410" w:val="left" w:leader="none"/>
        </w:tabs>
        <w:spacing w:before="149"/>
        <w:ind w:left="809"/>
      </w:pPr>
      <w:r>
        <w:rPr>
          <w:rFonts w:ascii="黑体" w:eastAsia="黑体" w:hint="eastAsia"/>
        </w:rPr>
        <w:t>第十六条</w:t>
        <w:tab/>
      </w:r>
      <w:r>
        <w:rPr/>
        <w:t>在农村产权交易活动中，禁止出现下列行为：</w:t>
      </w:r>
    </w:p>
    <w:p>
      <w:pPr>
        <w:pStyle w:val="BodyText"/>
        <w:spacing w:before="150"/>
        <w:ind w:left="809"/>
      </w:pPr>
      <w:r>
        <w:rPr/>
        <w:t>（一）操纵交易市场或者扰乱交易秩序的。</w:t>
      </w:r>
    </w:p>
    <w:p>
      <w:pPr>
        <w:pStyle w:val="BodyText"/>
        <w:spacing w:before="151"/>
        <w:ind w:left="809"/>
      </w:pPr>
      <w:r>
        <w:rPr/>
        <w:t>（二）有损于出让方、受让方进行公平交易的。</w:t>
      </w:r>
    </w:p>
    <w:p>
      <w:pPr>
        <w:pStyle w:val="BodyText"/>
        <w:spacing w:line="326" w:lineRule="auto" w:before="149"/>
        <w:ind w:left="166" w:right="1457" w:firstLine="643"/>
      </w:pPr>
      <w:r>
        <w:rPr/>
        <w:t>（三</w:t>
      </w:r>
      <w:r>
        <w:rPr>
          <w:spacing w:val="-41"/>
        </w:rPr>
        <w:t>）</w:t>
      </w:r>
      <w:r>
        <w:rPr>
          <w:spacing w:val="-10"/>
        </w:rPr>
        <w:t>法律、法规、规章及上级部门政策文件规定禁止的其他行为。</w:t>
      </w:r>
    </w:p>
    <w:p>
      <w:pPr>
        <w:pStyle w:val="BodyText"/>
        <w:tabs>
          <w:tab w:pos="2415" w:val="left" w:leader="none"/>
        </w:tabs>
        <w:spacing w:line="328" w:lineRule="auto" w:before="6"/>
        <w:ind w:left="166" w:right="1298" w:firstLine="643"/>
      </w:pPr>
      <w:r>
        <w:rPr>
          <w:rFonts w:ascii="黑体" w:eastAsia="黑体" w:hint="eastAsia"/>
        </w:rPr>
        <w:t>第十七条</w:t>
        <w:tab/>
      </w:r>
      <w:r>
        <w:rPr/>
        <w:t>交易要严格遵照工作程序</w:t>
      </w:r>
      <w:r>
        <w:rPr>
          <w:spacing w:val="-130"/>
        </w:rPr>
        <w:t>，</w:t>
      </w:r>
      <w:r>
        <w:rPr/>
        <w:t>实行统一规范的业务受理</w:t>
      </w:r>
      <w:r>
        <w:rPr>
          <w:spacing w:val="-48"/>
        </w:rPr>
        <w:t>、</w:t>
      </w:r>
      <w:r>
        <w:rPr/>
        <w:t>信息发布</w:t>
      </w:r>
      <w:r>
        <w:rPr>
          <w:spacing w:val="-46"/>
        </w:rPr>
        <w:t>、</w:t>
      </w:r>
      <w:r>
        <w:rPr/>
        <w:t>交易签约</w:t>
      </w:r>
      <w:r>
        <w:rPr>
          <w:spacing w:val="-46"/>
        </w:rPr>
        <w:t>、</w:t>
      </w:r>
      <w:r>
        <w:rPr/>
        <w:t>交易中止</w:t>
      </w:r>
      <w:r>
        <w:rPr>
          <w:spacing w:val="-48"/>
        </w:rPr>
        <w:t>、</w:t>
      </w:r>
      <w:r>
        <w:rPr/>
        <w:t>交易终</w:t>
      </w:r>
      <w:r>
        <w:rPr>
          <w:spacing w:val="5"/>
        </w:rPr>
        <w:t>结</w:t>
      </w:r>
      <w:r>
        <w:rPr>
          <w:spacing w:val="-48"/>
        </w:rPr>
        <w:t>、</w:t>
      </w:r>
      <w:r>
        <w:rPr/>
        <w:t>交</w:t>
      </w:r>
      <w:r>
        <w:rPr>
          <w:spacing w:val="-46"/>
        </w:rPr>
        <w:t>易</w:t>
      </w:r>
      <w:r>
        <w:rPr/>
        <w:t>（合同） 鉴证</w:t>
      </w:r>
      <w:r>
        <w:rPr>
          <w:spacing w:val="-43"/>
        </w:rPr>
        <w:t>、</w:t>
      </w:r>
      <w:r>
        <w:rPr/>
        <w:t>档案管理等制度</w:t>
      </w:r>
      <w:r>
        <w:rPr>
          <w:spacing w:val="-41"/>
        </w:rPr>
        <w:t>，</w:t>
      </w:r>
      <w:r>
        <w:rPr/>
        <w:t>认真履行民主程序和工作程序</w:t>
      </w:r>
      <w:r>
        <w:rPr>
          <w:spacing w:val="-41"/>
        </w:rPr>
        <w:t>，</w:t>
      </w:r>
      <w:r>
        <w:rPr/>
        <w:t>发布信息应真实、准确、完整。</w:t>
      </w:r>
    </w:p>
    <w:p>
      <w:pPr>
        <w:pStyle w:val="BodyText"/>
        <w:tabs>
          <w:tab w:pos="4272" w:val="left" w:leader="none"/>
        </w:tabs>
        <w:spacing w:line="402" w:lineRule="exact"/>
        <w:ind w:left="2988"/>
        <w:rPr>
          <w:rFonts w:ascii="黑体" w:eastAsia="黑体" w:hint="eastAsia"/>
        </w:rPr>
      </w:pPr>
      <w:bookmarkStart w:name="第五章  交易监督管理" w:id="5"/>
      <w:bookmarkEnd w:id="5"/>
      <w:r>
        <w:rPr/>
      </w:r>
      <w:r>
        <w:rPr>
          <w:rFonts w:ascii="黑体" w:eastAsia="黑体" w:hint="eastAsia"/>
        </w:rPr>
        <w:t>第五章</w:t>
        <w:tab/>
        <w:t>交易监督管理</w:t>
      </w:r>
    </w:p>
    <w:p>
      <w:pPr>
        <w:pStyle w:val="BodyText"/>
        <w:tabs>
          <w:tab w:pos="2415" w:val="left" w:leader="none"/>
        </w:tabs>
        <w:spacing w:line="328" w:lineRule="auto" w:before="149"/>
        <w:ind w:left="166" w:right="1327" w:firstLine="643"/>
      </w:pPr>
      <w:r>
        <w:rPr>
          <w:rFonts w:ascii="黑体" w:eastAsia="黑体" w:hint="eastAsia"/>
        </w:rPr>
        <w:t>第十八条</w:t>
        <w:tab/>
      </w:r>
      <w:r>
        <w:rPr/>
        <w:t>镇政府负责本</w:t>
      </w:r>
      <w:r>
        <w:rPr>
          <w:spacing w:val="5"/>
        </w:rPr>
        <w:t>镇</w:t>
      </w:r>
      <w:r>
        <w:rPr/>
        <w:t>域内农村产权交易的组织实施、审核审批</w:t>
      </w:r>
      <w:r>
        <w:rPr>
          <w:spacing w:val="-63"/>
        </w:rPr>
        <w:t>、</w:t>
      </w:r>
      <w:r>
        <w:rPr/>
        <w:t>资料上报和日常监管等工作</w:t>
      </w:r>
      <w:r>
        <w:rPr>
          <w:spacing w:val="-65"/>
        </w:rPr>
        <w:t>；</w:t>
      </w:r>
      <w:r>
        <w:rPr/>
        <w:t>农村集体经济组织负责对产权交易工作进行内部监督。</w:t>
      </w:r>
    </w:p>
    <w:p>
      <w:pPr>
        <w:pStyle w:val="BodyText"/>
        <w:tabs>
          <w:tab w:pos="2460" w:val="left" w:leader="none"/>
        </w:tabs>
        <w:spacing w:line="328" w:lineRule="auto"/>
        <w:ind w:left="166" w:right="1296" w:firstLine="643"/>
      </w:pPr>
      <w:r>
        <w:rPr>
          <w:rFonts w:ascii="黑体" w:eastAsia="黑体" w:hint="eastAsia"/>
          <w:spacing w:val="9"/>
        </w:rPr>
        <w:t>第</w:t>
      </w:r>
      <w:r>
        <w:rPr>
          <w:rFonts w:ascii="黑体" w:eastAsia="黑体" w:hint="eastAsia"/>
          <w:spacing w:val="7"/>
        </w:rPr>
        <w:t>十</w:t>
      </w:r>
      <w:r>
        <w:rPr>
          <w:rFonts w:ascii="黑体" w:eastAsia="黑体" w:hint="eastAsia"/>
          <w:spacing w:val="12"/>
        </w:rPr>
        <w:t>九</w:t>
      </w:r>
      <w:r>
        <w:rPr>
          <w:rFonts w:ascii="黑体" w:eastAsia="黑体" w:hint="eastAsia"/>
        </w:rPr>
        <w:t>条</w:t>
        <w:tab/>
      </w:r>
      <w:r>
        <w:rPr>
          <w:spacing w:val="9"/>
        </w:rPr>
        <w:t>镇政府作为禁止和限制产业进入及土地用途</w:t>
      </w:r>
      <w:r>
        <w:rPr/>
        <w:t>保护的责任主体</w:t>
      </w:r>
      <w:r>
        <w:rPr>
          <w:spacing w:val="-65"/>
        </w:rPr>
        <w:t>，</w:t>
      </w:r>
      <w:r>
        <w:rPr/>
        <w:t>严格执</w:t>
      </w:r>
      <w:r>
        <w:rPr>
          <w:spacing w:val="-60"/>
        </w:rPr>
        <w:t>行</w:t>
      </w:r>
      <w:r>
        <w:rPr/>
        <w:t>《北京市新增产业的禁止和限制目</w:t>
      </w:r>
      <w:r>
        <w:rPr>
          <w:spacing w:val="5"/>
        </w:rPr>
        <w:t>录</w:t>
      </w:r>
      <w:r>
        <w:rPr>
          <w:spacing w:val="-159"/>
        </w:rPr>
        <w:t>》</w:t>
      </w:r>
      <w:r>
        <w:rPr/>
        <w:t>， 强化对农村产权交易的前期把关和后续监管</w:t>
      </w:r>
      <w:r>
        <w:rPr>
          <w:spacing w:val="-130"/>
        </w:rPr>
        <w:t>，</w:t>
      </w:r>
      <w:r>
        <w:rPr/>
        <w:t>切实保护基本农田和保障农地农用。</w:t>
      </w:r>
    </w:p>
    <w:p>
      <w:pPr>
        <w:pStyle w:val="BodyText"/>
        <w:tabs>
          <w:tab w:pos="2460" w:val="left" w:leader="none"/>
        </w:tabs>
        <w:spacing w:line="405" w:lineRule="exact"/>
        <w:ind w:left="809"/>
      </w:pPr>
      <w:r>
        <w:rPr>
          <w:rFonts w:ascii="黑体" w:eastAsia="黑体" w:hint="eastAsia"/>
          <w:spacing w:val="9"/>
        </w:rPr>
        <w:t>第二十</w:t>
      </w:r>
      <w:r>
        <w:rPr>
          <w:rFonts w:ascii="黑体" w:eastAsia="黑体" w:hint="eastAsia"/>
        </w:rPr>
        <w:t>条</w:t>
        <w:tab/>
      </w:r>
      <w:r>
        <w:rPr>
          <w:spacing w:val="9"/>
        </w:rPr>
        <w:t>镇政府作为社会资本租赁农地从事农业生产</w:t>
      </w:r>
      <w:r>
        <w:rPr/>
        <w:t>经</w:t>
      </w:r>
    </w:p>
    <w:p>
      <w:pPr>
        <w:spacing w:after="0" w:line="405" w:lineRule="exact"/>
        <w:sectPr>
          <w:pgSz w:w="11910" w:h="16840"/>
          <w:pgMar w:header="0" w:footer="1670" w:top="1580" w:bottom="1860" w:left="1420" w:right="0"/>
        </w:sectPr>
      </w:pPr>
    </w:p>
    <w:p>
      <w:pPr>
        <w:pStyle w:val="BodyText"/>
        <w:rPr>
          <w:sz w:val="20"/>
        </w:rPr>
      </w:pPr>
      <w:r>
        <w:rPr/>
        <w:pict>
          <v:shape style="position:absolute;margin-left:14.101753pt;margin-top:401.402161pt;width:576pt;height:48pt;mso-position-horizontal-relative:page;mso-position-vertical-relative:page;z-index:-25216307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1"/>
        <w:rPr>
          <w:sz w:val="24"/>
        </w:rPr>
      </w:pPr>
    </w:p>
    <w:p>
      <w:pPr>
        <w:pStyle w:val="BodyText"/>
        <w:spacing w:line="326" w:lineRule="auto" w:before="54"/>
        <w:ind w:left="166" w:right="1454"/>
      </w:pPr>
      <w:r>
        <w:rPr>
          <w:spacing w:val="-6"/>
        </w:rPr>
        <w:t>营的监管责任主体，指导租地企业</w:t>
      </w:r>
      <w:r>
        <w:rPr/>
        <w:t>（组织</w:t>
      </w:r>
      <w:r>
        <w:rPr>
          <w:spacing w:val="-31"/>
        </w:rPr>
        <w:t>）</w:t>
      </w:r>
      <w:r>
        <w:rPr>
          <w:spacing w:val="-5"/>
        </w:rPr>
        <w:t>合理使用化肥、农药等农业投入品，防止出现掠夺性经营现象。</w:t>
      </w:r>
    </w:p>
    <w:p>
      <w:pPr>
        <w:pStyle w:val="BodyText"/>
        <w:spacing w:line="328" w:lineRule="auto" w:before="4"/>
        <w:ind w:left="166" w:right="1458" w:firstLine="643"/>
        <w:jc w:val="both"/>
      </w:pPr>
      <w:r>
        <w:rPr>
          <w:rFonts w:ascii="黑体" w:eastAsia="黑体" w:hint="eastAsia"/>
          <w:spacing w:val="1"/>
        </w:rPr>
        <w:t>第二十一条 </w:t>
      </w:r>
      <w:r>
        <w:rPr>
          <w:spacing w:val="-9"/>
        </w:rPr>
        <w:t>在农村产权交易过程中，发生交易纠纷的，村</w:t>
      </w:r>
      <w:r>
        <w:rPr>
          <w:spacing w:val="-16"/>
        </w:rPr>
        <w:t>级当事人可以向镇级主管部门申请调解；也可以依据合同约定依法向人民法院提起诉讼。</w:t>
      </w:r>
    </w:p>
    <w:p>
      <w:pPr>
        <w:pStyle w:val="BodyText"/>
        <w:tabs>
          <w:tab w:pos="4752" w:val="left" w:leader="none"/>
          <w:tab w:pos="5393" w:val="left" w:leader="none"/>
        </w:tabs>
        <w:spacing w:line="405" w:lineRule="exact"/>
        <w:ind w:left="3468"/>
        <w:rPr>
          <w:rFonts w:ascii="黑体" w:eastAsia="黑体" w:hint="eastAsia"/>
        </w:rPr>
      </w:pPr>
      <w:bookmarkStart w:name="第六章  附  则" w:id="6"/>
      <w:bookmarkEnd w:id="6"/>
      <w:r>
        <w:rPr/>
      </w:r>
      <w:r>
        <w:rPr>
          <w:rFonts w:ascii="黑体" w:eastAsia="黑体" w:hint="eastAsia"/>
        </w:rPr>
        <w:t>第六章</w:t>
        <w:tab/>
        <w:t>附</w:t>
        <w:tab/>
        <w:t>则</w:t>
      </w:r>
    </w:p>
    <w:p>
      <w:pPr>
        <w:pStyle w:val="BodyText"/>
        <w:spacing w:line="328" w:lineRule="auto" w:before="151"/>
        <w:ind w:left="166" w:right="1458" w:firstLine="643"/>
        <w:jc w:val="both"/>
      </w:pPr>
      <w:r>
        <w:rPr>
          <w:rFonts w:ascii="黑体" w:eastAsia="黑体" w:hint="eastAsia"/>
          <w:spacing w:val="6"/>
        </w:rPr>
        <w:t>第二十二条 </w:t>
      </w:r>
      <w:r>
        <w:rPr>
          <w:spacing w:val="8"/>
        </w:rPr>
        <w:t>凡参与农村产权交易的工作人员在组织农村</w:t>
      </w:r>
      <w:r>
        <w:rPr>
          <w:spacing w:val="-3"/>
        </w:rPr>
        <w:t>产权交易过程中涉及违法违纪的，依法依规予以处理；给农村集</w:t>
      </w:r>
      <w:r>
        <w:rPr>
          <w:spacing w:val="-12"/>
        </w:rPr>
        <w:t>体经济造成损失的，依法向相关责任人追讨经济赔偿；构成犯罪的，依法移送司法机关追究刑事责任。</w:t>
      </w:r>
    </w:p>
    <w:p>
      <w:pPr>
        <w:pStyle w:val="BodyText"/>
        <w:spacing w:line="326" w:lineRule="auto"/>
        <w:ind w:left="166" w:right="1458" w:firstLine="643"/>
        <w:jc w:val="both"/>
      </w:pPr>
      <w:r>
        <w:rPr>
          <w:rFonts w:ascii="黑体" w:eastAsia="黑体" w:hint="eastAsia"/>
        </w:rPr>
        <w:t>第二十三条 </w:t>
      </w:r>
      <w:r>
        <w:rPr/>
        <w:t>本办法在执行过程中的具体问题，由西红门镇经管站负责解释。</w:t>
      </w:r>
    </w:p>
    <w:p>
      <w:pPr>
        <w:pStyle w:val="BodyText"/>
        <w:spacing w:before="29"/>
        <w:ind w:left="809"/>
        <w:jc w:val="both"/>
      </w:pPr>
      <w:r>
        <w:rPr>
          <w:rFonts w:ascii="黑体" w:eastAsia="黑体" w:hint="eastAsia"/>
        </w:rPr>
        <w:t>第二十四条 </w:t>
      </w:r>
      <w:r>
        <w:rPr/>
        <w:t>本办法自颁发之日起施行。</w:t>
      </w:r>
    </w:p>
    <w:p>
      <w:pPr>
        <w:spacing w:after="0"/>
        <w:jc w:val="both"/>
        <w:sectPr>
          <w:footerReference w:type="even" r:id="rId8"/>
          <w:pgSz w:w="11910" w:h="16840"/>
          <w:pgMar w:footer="1670" w:header="0" w:top="1580" w:bottom="1860" w:left="1420" w:right="0"/>
          <w:pgNumType w:start="10"/>
        </w:sectPr>
      </w:pPr>
    </w:p>
    <w:p>
      <w:pPr>
        <w:pStyle w:val="BodyText"/>
        <w:rPr>
          <w:sz w:val="20"/>
        </w:rPr>
      </w:pPr>
    </w:p>
    <w:p>
      <w:pPr>
        <w:pStyle w:val="BodyText"/>
        <w:spacing w:before="1"/>
        <w:rPr>
          <w:sz w:val="21"/>
        </w:rPr>
      </w:pPr>
    </w:p>
    <w:p>
      <w:pPr>
        <w:spacing w:after="0"/>
        <w:rPr>
          <w:sz w:val="21"/>
        </w:rPr>
        <w:sectPr>
          <w:footerReference w:type="default" r:id="rId9"/>
          <w:pgSz w:w="11910" w:h="16840"/>
          <w:pgMar w:footer="0" w:header="0" w:top="1580" w:bottom="280" w:left="1420" w:right="0"/>
        </w:sectPr>
      </w:pPr>
    </w:p>
    <w:p>
      <w:pPr>
        <w:pStyle w:val="BodyText"/>
        <w:spacing w:before="55"/>
        <w:ind w:left="166"/>
        <w:rPr>
          <w:rFonts w:ascii="黑体" w:eastAsia="黑体" w:hint="eastAsia"/>
        </w:rPr>
      </w:pPr>
      <w:r>
        <w:rPr>
          <w:rFonts w:ascii="黑体" w:eastAsia="黑体" w:hint="eastAsia"/>
          <w:spacing w:val="-27"/>
        </w:rPr>
        <w:t>附件 </w:t>
      </w:r>
      <w:r>
        <w:rPr>
          <w:rFonts w:ascii="黑体" w:eastAsia="黑体" w:hint="eastAsia"/>
        </w:rPr>
        <w:t>2</w:t>
      </w:r>
    </w:p>
    <w:p>
      <w:pPr>
        <w:pStyle w:val="Heading1"/>
        <w:spacing w:before="347"/>
      </w:pPr>
      <w:r>
        <w:rPr/>
        <w:br w:type="column"/>
      </w:r>
      <w:r>
        <w:rPr/>
        <w:t>西红门镇农村产权交易领导小组</w:t>
      </w:r>
    </w:p>
    <w:p>
      <w:pPr>
        <w:spacing w:after="0"/>
        <w:sectPr>
          <w:type w:val="continuous"/>
          <w:pgSz w:w="11910" w:h="16840"/>
          <w:pgMar w:top="1580" w:bottom="280" w:left="1420" w:right="0"/>
          <w:cols w:num="2" w:equalWidth="0">
            <w:col w:w="1089" w:space="255"/>
            <w:col w:w="9146"/>
          </w:cols>
        </w:sectPr>
      </w:pPr>
    </w:p>
    <w:p>
      <w:pPr>
        <w:pStyle w:val="BodyText"/>
        <w:rPr>
          <w:rFonts w:ascii="方正小标宋简体"/>
          <w:sz w:val="24"/>
        </w:rPr>
      </w:pPr>
      <w:r>
        <w:rPr/>
        <w:pict>
          <v:shape style="position:absolute;margin-left:14.101753pt;margin-top:401.402161pt;width:576pt;height:48pt;mso-position-horizontal-relative:page;mso-position-vertical-relative:page;z-index:-252162048;rotation:315" type="#_x0000_t136" fillcolor="#aaaaaa" stroked="f">
            <o:extrusion v:ext="view" autorotationcenter="t"/>
            <v:textpath style="font-family:&quot;微软雅黑&quot;;font-size:48pt;v-text-kern:t;mso-text-shadow:auto" string="北京市大兴区人民政府公报"/>
            <v:fill opacity="32639f"/>
            <w10:wrap type="none"/>
          </v:shape>
        </w:pict>
      </w:r>
    </w:p>
    <w:tbl>
      <w:tblPr>
        <w:tblW w:w="0" w:type="auto"/>
        <w:jc w:val="left"/>
        <w:tblInd w:w="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1"/>
        <w:gridCol w:w="1844"/>
        <w:gridCol w:w="3737"/>
      </w:tblGrid>
      <w:tr>
        <w:trPr>
          <w:trHeight w:val="459" w:hRule="atLeast"/>
        </w:trPr>
        <w:tc>
          <w:tcPr>
            <w:tcW w:w="1571" w:type="dxa"/>
          </w:tcPr>
          <w:p>
            <w:pPr>
              <w:pStyle w:val="TableParagraph"/>
              <w:tabs>
                <w:tab w:pos="690" w:val="left" w:leader="none"/>
              </w:tabs>
              <w:spacing w:before="4"/>
              <w:ind w:left="50"/>
              <w:rPr>
                <w:sz w:val="32"/>
              </w:rPr>
            </w:pPr>
            <w:r>
              <w:rPr>
                <w:sz w:val="32"/>
              </w:rPr>
              <w:t>组</w:t>
              <w:tab/>
              <w:t>长：</w:t>
            </w:r>
          </w:p>
        </w:tc>
        <w:tc>
          <w:tcPr>
            <w:tcW w:w="1844" w:type="dxa"/>
          </w:tcPr>
          <w:p>
            <w:pPr>
              <w:pStyle w:val="TableParagraph"/>
              <w:spacing w:before="4"/>
              <w:ind w:left="240"/>
              <w:rPr>
                <w:sz w:val="32"/>
              </w:rPr>
            </w:pPr>
            <w:r>
              <w:rPr>
                <w:sz w:val="32"/>
              </w:rPr>
              <w:t>高志纯</w:t>
            </w:r>
          </w:p>
        </w:tc>
        <w:tc>
          <w:tcPr>
            <w:tcW w:w="3737" w:type="dxa"/>
          </w:tcPr>
          <w:p>
            <w:pPr>
              <w:pStyle w:val="TableParagraph"/>
              <w:spacing w:before="4"/>
              <w:ind w:left="640"/>
              <w:rPr>
                <w:sz w:val="32"/>
              </w:rPr>
            </w:pPr>
            <w:r>
              <w:rPr>
                <w:sz w:val="32"/>
              </w:rPr>
              <w:t>党委书记</w:t>
            </w:r>
          </w:p>
        </w:tc>
      </w:tr>
      <w:tr>
        <w:trPr>
          <w:trHeight w:val="499" w:hRule="atLeast"/>
        </w:trPr>
        <w:tc>
          <w:tcPr>
            <w:tcW w:w="1571" w:type="dxa"/>
          </w:tcPr>
          <w:p>
            <w:pPr>
              <w:pStyle w:val="TableParagraph"/>
              <w:spacing w:before="0"/>
              <w:rPr>
                <w:rFonts w:ascii="Times New Roman"/>
                <w:sz w:val="34"/>
              </w:rPr>
            </w:pPr>
          </w:p>
        </w:tc>
        <w:tc>
          <w:tcPr>
            <w:tcW w:w="1844" w:type="dxa"/>
          </w:tcPr>
          <w:p>
            <w:pPr>
              <w:pStyle w:val="TableParagraph"/>
              <w:ind w:left="245"/>
              <w:rPr>
                <w:sz w:val="32"/>
              </w:rPr>
            </w:pPr>
            <w:r>
              <w:rPr>
                <w:sz w:val="32"/>
              </w:rPr>
              <w:t>赵传富</w:t>
            </w:r>
          </w:p>
        </w:tc>
        <w:tc>
          <w:tcPr>
            <w:tcW w:w="3737" w:type="dxa"/>
          </w:tcPr>
          <w:p>
            <w:pPr>
              <w:pStyle w:val="TableParagraph"/>
              <w:tabs>
                <w:tab w:pos="2567" w:val="left" w:leader="none"/>
              </w:tabs>
              <w:ind w:left="645"/>
              <w:rPr>
                <w:sz w:val="32"/>
              </w:rPr>
            </w:pPr>
            <w:r>
              <w:rPr>
                <w:sz w:val="32"/>
              </w:rPr>
              <w:t>党委副书记</w:t>
              <w:tab/>
              <w:t>镇长</w:t>
            </w:r>
          </w:p>
        </w:tc>
      </w:tr>
      <w:tr>
        <w:trPr>
          <w:trHeight w:val="500" w:hRule="atLeast"/>
        </w:trPr>
        <w:tc>
          <w:tcPr>
            <w:tcW w:w="1571" w:type="dxa"/>
          </w:tcPr>
          <w:p>
            <w:pPr>
              <w:pStyle w:val="TableParagraph"/>
              <w:ind w:left="50"/>
              <w:rPr>
                <w:sz w:val="32"/>
              </w:rPr>
            </w:pPr>
            <w:r>
              <w:rPr>
                <w:sz w:val="32"/>
              </w:rPr>
              <w:t>副组长：</w:t>
            </w:r>
          </w:p>
        </w:tc>
        <w:tc>
          <w:tcPr>
            <w:tcW w:w="1844" w:type="dxa"/>
          </w:tcPr>
          <w:p>
            <w:pPr>
              <w:pStyle w:val="TableParagraph"/>
              <w:ind w:left="240"/>
              <w:rPr>
                <w:sz w:val="32"/>
              </w:rPr>
            </w:pPr>
            <w:r>
              <w:rPr>
                <w:sz w:val="32"/>
              </w:rPr>
              <w:t>巩国防</w:t>
            </w:r>
          </w:p>
        </w:tc>
        <w:tc>
          <w:tcPr>
            <w:tcW w:w="3737" w:type="dxa"/>
          </w:tcPr>
          <w:p>
            <w:pPr>
              <w:pStyle w:val="TableParagraph"/>
              <w:ind w:left="640"/>
              <w:rPr>
                <w:sz w:val="32"/>
              </w:rPr>
            </w:pPr>
            <w:r>
              <w:rPr>
                <w:sz w:val="32"/>
              </w:rPr>
              <w:t>党委委员、人大主席</w:t>
            </w:r>
          </w:p>
        </w:tc>
      </w:tr>
      <w:tr>
        <w:trPr>
          <w:trHeight w:val="500" w:hRule="atLeast"/>
        </w:trPr>
        <w:tc>
          <w:tcPr>
            <w:tcW w:w="1571" w:type="dxa"/>
          </w:tcPr>
          <w:p>
            <w:pPr>
              <w:pStyle w:val="TableParagraph"/>
              <w:spacing w:before="0"/>
              <w:rPr>
                <w:rFonts w:ascii="Times New Roman"/>
                <w:sz w:val="34"/>
              </w:rPr>
            </w:pPr>
          </w:p>
        </w:tc>
        <w:tc>
          <w:tcPr>
            <w:tcW w:w="1844" w:type="dxa"/>
          </w:tcPr>
          <w:p>
            <w:pPr>
              <w:pStyle w:val="TableParagraph"/>
              <w:tabs>
                <w:tab w:pos="881" w:val="left" w:leader="none"/>
              </w:tabs>
              <w:spacing w:before="45"/>
              <w:ind w:left="240"/>
              <w:rPr>
                <w:sz w:val="32"/>
              </w:rPr>
            </w:pPr>
            <w:r>
              <w:rPr>
                <w:sz w:val="32"/>
              </w:rPr>
              <w:t>李</w:t>
              <w:tab/>
              <w:t>浩</w:t>
            </w:r>
          </w:p>
        </w:tc>
        <w:tc>
          <w:tcPr>
            <w:tcW w:w="3737" w:type="dxa"/>
          </w:tcPr>
          <w:p>
            <w:pPr>
              <w:pStyle w:val="TableParagraph"/>
              <w:spacing w:before="45"/>
              <w:ind w:left="640"/>
              <w:rPr>
                <w:sz w:val="32"/>
              </w:rPr>
            </w:pPr>
            <w:r>
              <w:rPr>
                <w:sz w:val="32"/>
              </w:rPr>
              <w:t>党委副书记</w:t>
            </w:r>
          </w:p>
        </w:tc>
      </w:tr>
      <w:tr>
        <w:trPr>
          <w:trHeight w:val="499" w:hRule="atLeast"/>
        </w:trPr>
        <w:tc>
          <w:tcPr>
            <w:tcW w:w="1571" w:type="dxa"/>
          </w:tcPr>
          <w:p>
            <w:pPr>
              <w:pStyle w:val="TableParagraph"/>
              <w:spacing w:before="0"/>
              <w:rPr>
                <w:rFonts w:ascii="Times New Roman"/>
                <w:sz w:val="34"/>
              </w:rPr>
            </w:pPr>
          </w:p>
        </w:tc>
        <w:tc>
          <w:tcPr>
            <w:tcW w:w="1844" w:type="dxa"/>
          </w:tcPr>
          <w:p>
            <w:pPr>
              <w:pStyle w:val="TableParagraph"/>
              <w:ind w:left="240"/>
              <w:rPr>
                <w:sz w:val="32"/>
              </w:rPr>
            </w:pPr>
            <w:r>
              <w:rPr>
                <w:sz w:val="32"/>
              </w:rPr>
              <w:t>赵红萍</w:t>
            </w:r>
          </w:p>
        </w:tc>
        <w:tc>
          <w:tcPr>
            <w:tcW w:w="3737" w:type="dxa"/>
          </w:tcPr>
          <w:p>
            <w:pPr>
              <w:pStyle w:val="TableParagraph"/>
              <w:ind w:left="640"/>
              <w:rPr>
                <w:sz w:val="32"/>
              </w:rPr>
            </w:pPr>
            <w:r>
              <w:rPr>
                <w:sz w:val="32"/>
              </w:rPr>
              <w:t>党委委员、纪委书记</w:t>
            </w:r>
          </w:p>
        </w:tc>
      </w:tr>
      <w:tr>
        <w:trPr>
          <w:trHeight w:val="500" w:hRule="atLeast"/>
        </w:trPr>
        <w:tc>
          <w:tcPr>
            <w:tcW w:w="1571" w:type="dxa"/>
          </w:tcPr>
          <w:p>
            <w:pPr>
              <w:pStyle w:val="TableParagraph"/>
              <w:spacing w:before="0"/>
              <w:rPr>
                <w:rFonts w:ascii="Times New Roman"/>
                <w:sz w:val="34"/>
              </w:rPr>
            </w:pPr>
          </w:p>
        </w:tc>
        <w:tc>
          <w:tcPr>
            <w:tcW w:w="1844" w:type="dxa"/>
          </w:tcPr>
          <w:p>
            <w:pPr>
              <w:pStyle w:val="TableParagraph"/>
              <w:tabs>
                <w:tab w:pos="881" w:val="left" w:leader="none"/>
              </w:tabs>
              <w:ind w:left="240"/>
              <w:rPr>
                <w:sz w:val="32"/>
              </w:rPr>
            </w:pPr>
            <w:r>
              <w:rPr>
                <w:sz w:val="32"/>
              </w:rPr>
              <w:t>王</w:t>
              <w:tab/>
              <w:t>健</w:t>
            </w:r>
          </w:p>
        </w:tc>
        <w:tc>
          <w:tcPr>
            <w:tcW w:w="3737" w:type="dxa"/>
          </w:tcPr>
          <w:p>
            <w:pPr>
              <w:pStyle w:val="TableParagraph"/>
              <w:ind w:left="640"/>
              <w:rPr>
                <w:sz w:val="32"/>
              </w:rPr>
            </w:pPr>
            <w:r>
              <w:rPr>
                <w:sz w:val="32"/>
              </w:rPr>
              <w:t>党委委员、副镇长</w:t>
            </w:r>
          </w:p>
        </w:tc>
      </w:tr>
      <w:tr>
        <w:trPr>
          <w:trHeight w:val="500" w:hRule="atLeast"/>
        </w:trPr>
        <w:tc>
          <w:tcPr>
            <w:tcW w:w="1571" w:type="dxa"/>
          </w:tcPr>
          <w:p>
            <w:pPr>
              <w:pStyle w:val="TableParagraph"/>
              <w:spacing w:before="0"/>
              <w:rPr>
                <w:rFonts w:ascii="Times New Roman"/>
                <w:sz w:val="34"/>
              </w:rPr>
            </w:pPr>
          </w:p>
        </w:tc>
        <w:tc>
          <w:tcPr>
            <w:tcW w:w="1844" w:type="dxa"/>
          </w:tcPr>
          <w:p>
            <w:pPr>
              <w:pStyle w:val="TableParagraph"/>
              <w:spacing w:before="45"/>
              <w:ind w:left="240"/>
              <w:rPr>
                <w:sz w:val="32"/>
              </w:rPr>
            </w:pPr>
            <w:r>
              <w:rPr>
                <w:sz w:val="32"/>
              </w:rPr>
              <w:t>陈勇强</w:t>
            </w:r>
          </w:p>
        </w:tc>
        <w:tc>
          <w:tcPr>
            <w:tcW w:w="3737" w:type="dxa"/>
          </w:tcPr>
          <w:p>
            <w:pPr>
              <w:pStyle w:val="TableParagraph"/>
              <w:spacing w:before="45"/>
              <w:ind w:left="640"/>
              <w:rPr>
                <w:sz w:val="32"/>
              </w:rPr>
            </w:pPr>
            <w:r>
              <w:rPr>
                <w:sz w:val="32"/>
              </w:rPr>
              <w:t>党委委员、 组织部长</w:t>
            </w:r>
          </w:p>
        </w:tc>
      </w:tr>
      <w:tr>
        <w:trPr>
          <w:trHeight w:val="499" w:hRule="atLeast"/>
        </w:trPr>
        <w:tc>
          <w:tcPr>
            <w:tcW w:w="1571" w:type="dxa"/>
          </w:tcPr>
          <w:p>
            <w:pPr>
              <w:pStyle w:val="TableParagraph"/>
              <w:spacing w:before="0"/>
              <w:rPr>
                <w:rFonts w:ascii="Times New Roman"/>
                <w:sz w:val="34"/>
              </w:rPr>
            </w:pPr>
          </w:p>
        </w:tc>
        <w:tc>
          <w:tcPr>
            <w:tcW w:w="1844" w:type="dxa"/>
          </w:tcPr>
          <w:p>
            <w:pPr>
              <w:pStyle w:val="TableParagraph"/>
              <w:ind w:left="240"/>
              <w:rPr>
                <w:sz w:val="32"/>
              </w:rPr>
            </w:pPr>
            <w:r>
              <w:rPr>
                <w:sz w:val="32"/>
              </w:rPr>
              <w:t>姜晓颖</w:t>
            </w:r>
          </w:p>
        </w:tc>
        <w:tc>
          <w:tcPr>
            <w:tcW w:w="3737" w:type="dxa"/>
          </w:tcPr>
          <w:p>
            <w:pPr>
              <w:pStyle w:val="TableParagraph"/>
              <w:ind w:left="640"/>
              <w:rPr>
                <w:sz w:val="32"/>
              </w:rPr>
            </w:pPr>
            <w:r>
              <w:rPr>
                <w:sz w:val="32"/>
              </w:rPr>
              <w:t>党委委员、副镇长</w:t>
            </w:r>
          </w:p>
        </w:tc>
      </w:tr>
      <w:tr>
        <w:trPr>
          <w:trHeight w:val="500" w:hRule="atLeast"/>
        </w:trPr>
        <w:tc>
          <w:tcPr>
            <w:tcW w:w="1571" w:type="dxa"/>
          </w:tcPr>
          <w:p>
            <w:pPr>
              <w:pStyle w:val="TableParagraph"/>
              <w:spacing w:before="0"/>
              <w:rPr>
                <w:rFonts w:ascii="Times New Roman"/>
                <w:sz w:val="34"/>
              </w:rPr>
            </w:pPr>
          </w:p>
        </w:tc>
        <w:tc>
          <w:tcPr>
            <w:tcW w:w="1844" w:type="dxa"/>
          </w:tcPr>
          <w:p>
            <w:pPr>
              <w:pStyle w:val="TableParagraph"/>
              <w:ind w:left="240"/>
              <w:rPr>
                <w:sz w:val="32"/>
              </w:rPr>
            </w:pPr>
            <w:r>
              <w:rPr>
                <w:sz w:val="32"/>
              </w:rPr>
              <w:t>惠春跃</w:t>
            </w:r>
          </w:p>
        </w:tc>
        <w:tc>
          <w:tcPr>
            <w:tcW w:w="3737" w:type="dxa"/>
          </w:tcPr>
          <w:p>
            <w:pPr>
              <w:pStyle w:val="TableParagraph"/>
              <w:ind w:left="640"/>
              <w:rPr>
                <w:sz w:val="32"/>
              </w:rPr>
            </w:pPr>
            <w:r>
              <w:rPr>
                <w:sz w:val="32"/>
              </w:rPr>
              <w:t>党委委员 、宣传部长</w:t>
            </w:r>
          </w:p>
        </w:tc>
      </w:tr>
      <w:tr>
        <w:trPr>
          <w:trHeight w:val="500" w:hRule="atLeast"/>
        </w:trPr>
        <w:tc>
          <w:tcPr>
            <w:tcW w:w="1571" w:type="dxa"/>
          </w:tcPr>
          <w:p>
            <w:pPr>
              <w:pStyle w:val="TableParagraph"/>
              <w:spacing w:before="0"/>
              <w:rPr>
                <w:rFonts w:ascii="Times New Roman"/>
                <w:sz w:val="34"/>
              </w:rPr>
            </w:pPr>
          </w:p>
        </w:tc>
        <w:tc>
          <w:tcPr>
            <w:tcW w:w="1844" w:type="dxa"/>
          </w:tcPr>
          <w:p>
            <w:pPr>
              <w:pStyle w:val="TableParagraph"/>
              <w:spacing w:before="45"/>
              <w:ind w:left="245"/>
              <w:rPr>
                <w:sz w:val="32"/>
              </w:rPr>
            </w:pPr>
            <w:r>
              <w:rPr>
                <w:sz w:val="32"/>
              </w:rPr>
              <w:t>张赛飞</w:t>
            </w:r>
          </w:p>
        </w:tc>
        <w:tc>
          <w:tcPr>
            <w:tcW w:w="3737" w:type="dxa"/>
          </w:tcPr>
          <w:p>
            <w:pPr>
              <w:pStyle w:val="TableParagraph"/>
              <w:spacing w:before="45"/>
              <w:ind w:left="645"/>
              <w:rPr>
                <w:sz w:val="32"/>
              </w:rPr>
            </w:pPr>
            <w:r>
              <w:rPr>
                <w:sz w:val="32"/>
              </w:rPr>
              <w:t>党委委员 、武装部长</w:t>
            </w:r>
          </w:p>
        </w:tc>
      </w:tr>
      <w:tr>
        <w:trPr>
          <w:trHeight w:val="499" w:hRule="atLeast"/>
        </w:trPr>
        <w:tc>
          <w:tcPr>
            <w:tcW w:w="1571" w:type="dxa"/>
          </w:tcPr>
          <w:p>
            <w:pPr>
              <w:pStyle w:val="TableParagraph"/>
              <w:spacing w:before="0"/>
              <w:rPr>
                <w:rFonts w:ascii="Times New Roman"/>
                <w:sz w:val="34"/>
              </w:rPr>
            </w:pPr>
          </w:p>
        </w:tc>
        <w:tc>
          <w:tcPr>
            <w:tcW w:w="1844" w:type="dxa"/>
          </w:tcPr>
          <w:p>
            <w:pPr>
              <w:pStyle w:val="TableParagraph"/>
              <w:ind w:left="245"/>
              <w:rPr>
                <w:sz w:val="32"/>
              </w:rPr>
            </w:pPr>
            <w:r>
              <w:rPr>
                <w:sz w:val="32"/>
              </w:rPr>
              <w:t>刘玉涛</w:t>
            </w:r>
          </w:p>
        </w:tc>
        <w:tc>
          <w:tcPr>
            <w:tcW w:w="3737" w:type="dxa"/>
          </w:tcPr>
          <w:p>
            <w:pPr>
              <w:pStyle w:val="TableParagraph"/>
              <w:ind w:left="645"/>
              <w:rPr>
                <w:sz w:val="32"/>
              </w:rPr>
            </w:pPr>
            <w:r>
              <w:rPr>
                <w:sz w:val="32"/>
              </w:rPr>
              <w:t>副镇长</w:t>
            </w:r>
          </w:p>
        </w:tc>
      </w:tr>
      <w:tr>
        <w:trPr>
          <w:trHeight w:val="500" w:hRule="atLeast"/>
        </w:trPr>
        <w:tc>
          <w:tcPr>
            <w:tcW w:w="1571" w:type="dxa"/>
          </w:tcPr>
          <w:p>
            <w:pPr>
              <w:pStyle w:val="TableParagraph"/>
              <w:spacing w:before="0"/>
              <w:rPr>
                <w:rFonts w:ascii="Times New Roman"/>
                <w:sz w:val="34"/>
              </w:rPr>
            </w:pPr>
          </w:p>
        </w:tc>
        <w:tc>
          <w:tcPr>
            <w:tcW w:w="1844" w:type="dxa"/>
          </w:tcPr>
          <w:p>
            <w:pPr>
              <w:pStyle w:val="TableParagraph"/>
              <w:ind w:left="245"/>
              <w:rPr>
                <w:sz w:val="32"/>
              </w:rPr>
            </w:pPr>
            <w:r>
              <w:rPr>
                <w:sz w:val="32"/>
              </w:rPr>
              <w:t>车知博</w:t>
            </w:r>
          </w:p>
        </w:tc>
        <w:tc>
          <w:tcPr>
            <w:tcW w:w="3737" w:type="dxa"/>
          </w:tcPr>
          <w:p>
            <w:pPr>
              <w:pStyle w:val="TableParagraph"/>
              <w:ind w:left="645"/>
              <w:rPr>
                <w:sz w:val="32"/>
              </w:rPr>
            </w:pPr>
            <w:r>
              <w:rPr>
                <w:sz w:val="32"/>
              </w:rPr>
              <w:t>副镇长</w:t>
            </w:r>
          </w:p>
        </w:tc>
      </w:tr>
      <w:tr>
        <w:trPr>
          <w:trHeight w:val="500" w:hRule="atLeast"/>
        </w:trPr>
        <w:tc>
          <w:tcPr>
            <w:tcW w:w="1571" w:type="dxa"/>
          </w:tcPr>
          <w:p>
            <w:pPr>
              <w:pStyle w:val="TableParagraph"/>
              <w:spacing w:before="0"/>
              <w:rPr>
                <w:rFonts w:ascii="Times New Roman"/>
                <w:sz w:val="34"/>
              </w:rPr>
            </w:pPr>
          </w:p>
        </w:tc>
        <w:tc>
          <w:tcPr>
            <w:tcW w:w="1844" w:type="dxa"/>
          </w:tcPr>
          <w:p>
            <w:pPr>
              <w:pStyle w:val="TableParagraph"/>
              <w:tabs>
                <w:tab w:pos="886" w:val="left" w:leader="none"/>
              </w:tabs>
              <w:spacing w:before="45"/>
              <w:ind w:left="245"/>
              <w:rPr>
                <w:sz w:val="32"/>
              </w:rPr>
            </w:pPr>
            <w:r>
              <w:rPr>
                <w:sz w:val="32"/>
              </w:rPr>
              <w:t>丁</w:t>
              <w:tab/>
              <w:t>路</w:t>
            </w:r>
          </w:p>
        </w:tc>
        <w:tc>
          <w:tcPr>
            <w:tcW w:w="3737" w:type="dxa"/>
          </w:tcPr>
          <w:p>
            <w:pPr>
              <w:pStyle w:val="TableParagraph"/>
              <w:spacing w:before="45"/>
              <w:ind w:left="645"/>
              <w:rPr>
                <w:sz w:val="32"/>
              </w:rPr>
            </w:pPr>
            <w:r>
              <w:rPr>
                <w:sz w:val="32"/>
              </w:rPr>
              <w:t>副镇长</w:t>
            </w:r>
          </w:p>
        </w:tc>
      </w:tr>
      <w:tr>
        <w:trPr>
          <w:trHeight w:val="499" w:hRule="atLeast"/>
        </w:trPr>
        <w:tc>
          <w:tcPr>
            <w:tcW w:w="1571" w:type="dxa"/>
          </w:tcPr>
          <w:p>
            <w:pPr>
              <w:pStyle w:val="TableParagraph"/>
              <w:spacing w:before="0"/>
              <w:rPr>
                <w:rFonts w:ascii="Times New Roman"/>
                <w:sz w:val="34"/>
              </w:rPr>
            </w:pPr>
          </w:p>
        </w:tc>
        <w:tc>
          <w:tcPr>
            <w:tcW w:w="1844" w:type="dxa"/>
          </w:tcPr>
          <w:p>
            <w:pPr>
              <w:pStyle w:val="TableParagraph"/>
              <w:tabs>
                <w:tab w:pos="886" w:val="left" w:leader="none"/>
              </w:tabs>
              <w:ind w:left="245"/>
              <w:rPr>
                <w:sz w:val="32"/>
              </w:rPr>
            </w:pPr>
            <w:r>
              <w:rPr>
                <w:sz w:val="32"/>
              </w:rPr>
              <w:t>徐</w:t>
              <w:tab/>
              <w:t>可</w:t>
            </w:r>
          </w:p>
        </w:tc>
        <w:tc>
          <w:tcPr>
            <w:tcW w:w="3737" w:type="dxa"/>
          </w:tcPr>
          <w:p>
            <w:pPr>
              <w:pStyle w:val="TableParagraph"/>
              <w:ind w:left="645"/>
              <w:rPr>
                <w:sz w:val="32"/>
              </w:rPr>
            </w:pPr>
            <w:r>
              <w:rPr>
                <w:sz w:val="32"/>
              </w:rPr>
              <w:t>副镇长</w:t>
            </w:r>
          </w:p>
        </w:tc>
      </w:tr>
      <w:tr>
        <w:trPr>
          <w:trHeight w:val="500" w:hRule="atLeast"/>
        </w:trPr>
        <w:tc>
          <w:tcPr>
            <w:tcW w:w="1571" w:type="dxa"/>
          </w:tcPr>
          <w:p>
            <w:pPr>
              <w:pStyle w:val="TableParagraph"/>
              <w:spacing w:before="0"/>
              <w:rPr>
                <w:rFonts w:ascii="Times New Roman"/>
                <w:sz w:val="34"/>
              </w:rPr>
            </w:pPr>
          </w:p>
        </w:tc>
        <w:tc>
          <w:tcPr>
            <w:tcW w:w="1844" w:type="dxa"/>
          </w:tcPr>
          <w:p>
            <w:pPr>
              <w:pStyle w:val="TableParagraph"/>
              <w:ind w:left="245"/>
              <w:rPr>
                <w:sz w:val="32"/>
              </w:rPr>
            </w:pPr>
            <w:r>
              <w:rPr>
                <w:sz w:val="32"/>
              </w:rPr>
              <w:t>宗文浦</w:t>
            </w:r>
          </w:p>
        </w:tc>
        <w:tc>
          <w:tcPr>
            <w:tcW w:w="3737" w:type="dxa"/>
          </w:tcPr>
          <w:p>
            <w:pPr>
              <w:pStyle w:val="TableParagraph"/>
              <w:ind w:left="645"/>
              <w:rPr>
                <w:sz w:val="32"/>
              </w:rPr>
            </w:pPr>
            <w:r>
              <w:rPr>
                <w:sz w:val="32"/>
              </w:rPr>
              <w:t>三级调研员</w:t>
            </w:r>
          </w:p>
        </w:tc>
      </w:tr>
      <w:tr>
        <w:trPr>
          <w:trHeight w:val="460" w:hRule="atLeast"/>
        </w:trPr>
        <w:tc>
          <w:tcPr>
            <w:tcW w:w="1571" w:type="dxa"/>
          </w:tcPr>
          <w:p>
            <w:pPr>
              <w:pStyle w:val="TableParagraph"/>
              <w:spacing w:before="0"/>
              <w:rPr>
                <w:rFonts w:ascii="Times New Roman"/>
                <w:sz w:val="34"/>
              </w:rPr>
            </w:pPr>
          </w:p>
        </w:tc>
        <w:tc>
          <w:tcPr>
            <w:tcW w:w="1844" w:type="dxa"/>
          </w:tcPr>
          <w:p>
            <w:pPr>
              <w:pStyle w:val="TableParagraph"/>
              <w:spacing w:line="365" w:lineRule="exact" w:before="45"/>
              <w:ind w:left="245"/>
              <w:rPr>
                <w:sz w:val="32"/>
              </w:rPr>
            </w:pPr>
            <w:bookmarkStart w:name="倪景东        四级调研员" w:id="7"/>
            <w:bookmarkEnd w:id="7"/>
            <w:r>
              <w:rPr/>
            </w:r>
            <w:r>
              <w:rPr>
                <w:sz w:val="32"/>
              </w:rPr>
              <w:t>倪景东</w:t>
            </w:r>
          </w:p>
        </w:tc>
        <w:tc>
          <w:tcPr>
            <w:tcW w:w="3737" w:type="dxa"/>
          </w:tcPr>
          <w:p>
            <w:pPr>
              <w:pStyle w:val="TableParagraph"/>
              <w:spacing w:line="365" w:lineRule="exact" w:before="45"/>
              <w:ind w:left="645"/>
              <w:rPr>
                <w:sz w:val="32"/>
              </w:rPr>
            </w:pPr>
            <w:r>
              <w:rPr>
                <w:sz w:val="32"/>
              </w:rPr>
              <w:t>四级调研员</w:t>
            </w:r>
          </w:p>
        </w:tc>
      </w:tr>
    </w:tbl>
    <w:p>
      <w:pPr>
        <w:pStyle w:val="BodyText"/>
        <w:tabs>
          <w:tab w:pos="1450" w:val="left" w:leader="none"/>
          <w:tab w:pos="2571" w:val="left" w:leader="none"/>
        </w:tabs>
        <w:spacing w:before="84"/>
        <w:ind w:left="809"/>
      </w:pPr>
      <w:r>
        <w:rPr/>
        <w:t>成</w:t>
        <w:tab/>
        <w:t>员：</w:t>
        <w:tab/>
        <w:t>各村经济合作社社长</w:t>
      </w:r>
    </w:p>
    <w:p>
      <w:pPr>
        <w:pStyle w:val="BodyText"/>
        <w:spacing w:before="89"/>
        <w:ind w:left="809"/>
      </w:pPr>
      <w:r>
        <w:rPr/>
        <w:t>下设镇级服务站，服务站设在经管站。</w:t>
      </w:r>
    </w:p>
    <w:p>
      <w:pPr>
        <w:pStyle w:val="BodyText"/>
        <w:tabs>
          <w:tab w:pos="3216" w:val="left" w:leader="none"/>
          <w:tab w:pos="4978" w:val="left" w:leader="none"/>
        </w:tabs>
        <w:spacing w:before="92"/>
        <w:ind w:left="2576"/>
      </w:pPr>
      <w:r>
        <w:rPr/>
        <w:t>站</w:t>
        <w:tab/>
        <w:t>长</w:t>
        <w:tab/>
        <w:t>刘玉涛同志兼任</w:t>
      </w:r>
    </w:p>
    <w:p>
      <w:pPr>
        <w:pStyle w:val="BodyText"/>
        <w:tabs>
          <w:tab w:pos="4978" w:val="left" w:leader="none"/>
        </w:tabs>
        <w:spacing w:before="89"/>
        <w:ind w:left="2576"/>
      </w:pPr>
      <w:r>
        <w:rPr/>
        <w:t>常务副站长</w:t>
        <w:tab/>
      </w:r>
      <w:r>
        <w:rPr>
          <w:w w:val="95"/>
        </w:rPr>
        <w:t>洪爱华兼任</w:t>
      </w:r>
    </w:p>
    <w:p>
      <w:pPr>
        <w:pStyle w:val="BodyText"/>
        <w:tabs>
          <w:tab w:pos="4978" w:val="left" w:leader="none"/>
        </w:tabs>
        <w:spacing w:before="89"/>
        <w:ind w:left="2576"/>
      </w:pPr>
      <w:r>
        <w:rPr/>
        <w:t>工作人员</w:t>
        <w:tab/>
      </w:r>
      <w:r>
        <w:rPr>
          <w:w w:val="95"/>
        </w:rPr>
        <w:t>孙颖、姜妍</w:t>
      </w:r>
    </w:p>
    <w:p>
      <w:pPr>
        <w:pStyle w:val="BodyText"/>
        <w:tabs>
          <w:tab w:pos="6260" w:val="right" w:leader="none"/>
        </w:tabs>
        <w:spacing w:before="92"/>
        <w:ind w:left="2576"/>
      </w:pPr>
      <w:r>
        <w:rPr/>
        <w:t>联系电话</w:t>
        <w:tab/>
        <w:t>60290193</w:t>
      </w:r>
    </w:p>
    <w:p>
      <w:pPr>
        <w:spacing w:before="340"/>
        <w:ind w:left="0" w:right="1472" w:firstLine="0"/>
        <w:jc w:val="right"/>
        <w:rPr>
          <w:rFonts w:ascii="宋体"/>
          <w:sz w:val="28"/>
        </w:rPr>
      </w:pPr>
      <w:r>
        <w:rPr>
          <w:rFonts w:ascii="宋体"/>
          <w:sz w:val="28"/>
        </w:rPr>
        <w:t>- 11 -</w:t>
      </w:r>
    </w:p>
    <w:p>
      <w:pPr>
        <w:spacing w:after="0"/>
        <w:jc w:val="right"/>
        <w:rPr>
          <w:rFonts w:ascii="宋体"/>
          <w:sz w:val="28"/>
        </w:rPr>
        <w:sectPr>
          <w:type w:val="continuous"/>
          <w:pgSz w:w="11910" w:h="16840"/>
          <w:pgMar w:top="1580" w:bottom="280" w:left="1420" w:right="0"/>
        </w:sectPr>
      </w:pPr>
    </w:p>
    <w:p>
      <w:pPr>
        <w:pStyle w:val="BodyText"/>
        <w:rPr>
          <w:rFonts w:ascii="宋体"/>
          <w:sz w:val="20"/>
        </w:rPr>
      </w:pPr>
      <w:r>
        <w:rPr/>
        <w:pict>
          <v:shape style="position:absolute;margin-left:14.101753pt;margin-top:401.402161pt;width:576pt;height:48pt;mso-position-horizontal-relative:page;mso-position-vertical-relative:page;z-index:-25215897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1"/>
        <w:rPr>
          <w:rFonts w:ascii="宋体"/>
          <w:sz w:val="17"/>
        </w:rPr>
      </w:pPr>
    </w:p>
    <w:p>
      <w:pPr>
        <w:pStyle w:val="BodyText"/>
        <w:spacing w:before="54"/>
        <w:ind w:left="809"/>
      </w:pPr>
      <w:r>
        <w:rPr/>
        <w:pict>
          <v:group style="position:absolute;margin-left:78.699997pt;margin-top:25.720001pt;width:442.2pt;height:1pt;mso-position-horizontal-relative:page;mso-position-vertical-relative:paragraph;z-index:-251643904;mso-wrap-distance-left:0;mso-wrap-distance-right:0" coordorigin="1574,514" coordsize="8844,20">
            <v:line style="position:absolute" from="1574,524" to="10418,524" stroked="true" strokeweight="1pt" strokecolor="#000000">
              <v:stroke dashstyle="solid"/>
            </v:line>
            <v:line style="position:absolute" from="1574,524" to="10361,524" stroked="true" strokeweight="1pt" strokecolor="#000000">
              <v:stroke dashstyle="solid"/>
            </v:line>
            <w10:wrap type="topAndBottom"/>
          </v:group>
        </w:pict>
      </w:r>
      <w:r>
        <w:rPr/>
        <w:t>（此文件依申请公开）</w:t>
      </w:r>
    </w:p>
    <w:p>
      <w:pPr>
        <w:tabs>
          <w:tab w:pos="6036" w:val="left" w:leader="none"/>
        </w:tabs>
        <w:spacing w:before="130" w:after="53"/>
        <w:ind w:left="564" w:right="0" w:firstLine="0"/>
        <w:jc w:val="left"/>
        <w:rPr>
          <w:sz w:val="28"/>
        </w:rPr>
      </w:pPr>
      <w:r>
        <w:rPr>
          <w:sz w:val="28"/>
        </w:rPr>
        <w:t>北京市大兴</w:t>
      </w:r>
      <w:r>
        <w:rPr>
          <w:spacing w:val="-3"/>
          <w:sz w:val="28"/>
        </w:rPr>
        <w:t>区</w:t>
      </w:r>
      <w:r>
        <w:rPr>
          <w:sz w:val="28"/>
        </w:rPr>
        <w:t>西红门镇党</w:t>
      </w:r>
      <w:r>
        <w:rPr>
          <w:spacing w:val="-3"/>
          <w:sz w:val="28"/>
        </w:rPr>
        <w:t>政</w:t>
      </w:r>
      <w:r>
        <w:rPr>
          <w:sz w:val="28"/>
        </w:rPr>
        <w:t>办公室</w:t>
        <w:tab/>
        <w:t>2022</w:t>
      </w:r>
      <w:r>
        <w:rPr>
          <w:spacing w:val="-72"/>
          <w:sz w:val="28"/>
        </w:rPr>
        <w:t> </w:t>
      </w:r>
      <w:r>
        <w:rPr>
          <w:sz w:val="28"/>
        </w:rPr>
        <w:t>年</w:t>
      </w:r>
      <w:r>
        <w:rPr>
          <w:spacing w:val="-71"/>
          <w:sz w:val="28"/>
        </w:rPr>
        <w:t> </w:t>
      </w:r>
      <w:r>
        <w:rPr>
          <w:sz w:val="28"/>
        </w:rPr>
        <w:t>1</w:t>
      </w:r>
      <w:r>
        <w:rPr>
          <w:spacing w:val="-72"/>
          <w:sz w:val="28"/>
        </w:rPr>
        <w:t> </w:t>
      </w:r>
      <w:r>
        <w:rPr>
          <w:sz w:val="28"/>
        </w:rPr>
        <w:t>月</w:t>
      </w:r>
      <w:r>
        <w:rPr>
          <w:spacing w:val="-69"/>
          <w:sz w:val="28"/>
        </w:rPr>
        <w:t> </w:t>
      </w:r>
      <w:r>
        <w:rPr>
          <w:sz w:val="28"/>
        </w:rPr>
        <w:t>5</w:t>
      </w:r>
      <w:r>
        <w:rPr>
          <w:spacing w:val="-72"/>
          <w:sz w:val="28"/>
        </w:rPr>
        <w:t> </w:t>
      </w:r>
      <w:r>
        <w:rPr>
          <w:sz w:val="28"/>
        </w:rPr>
        <w:t>日印发</w:t>
      </w:r>
    </w:p>
    <w:p>
      <w:pPr>
        <w:pStyle w:val="BodyText"/>
        <w:spacing w:line="20" w:lineRule="exact"/>
        <w:ind w:left="154"/>
        <w:rPr>
          <w:sz w:val="2"/>
        </w:rPr>
      </w:pPr>
      <w:r>
        <w:rPr>
          <w:sz w:val="2"/>
        </w:rPr>
        <w:pict>
          <v:group style="width:442.2pt;height:1pt;mso-position-horizontal-relative:char;mso-position-vertical-relative:line" coordorigin="0,0" coordsize="8844,20">
            <v:rect style="position:absolute;left:0;top:0;width:8844;height:20" filled="true" fillcolor="#000000" stroked="false">
              <v:fill type="solid"/>
            </v:rect>
            <v:rect style="position:absolute;left:0;top:0;width:8844;height:20" filled="true" fillcolor="#000000" stroked="false">
              <v:fill type="solid"/>
            </v:rect>
          </v:group>
        </w:pict>
      </w:r>
      <w:r>
        <w:rPr>
          <w:sz w:val="2"/>
        </w:rPr>
      </w:r>
    </w:p>
    <w:sectPr>
      <w:footerReference w:type="even" r:id="rId10"/>
      <w:pgSz w:w="11910" w:h="16840"/>
      <w:pgMar w:footer="1670" w:header="0" w:top="1580" w:bottom="1860" w:left="1420" w:right="0"/>
      <w:pgNumType w:start="1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微软雅黑">
    <w:altName w:val="微软雅黑"/>
    <w:charset w:val="86"/>
    <w:family w:val="swiss"/>
    <w:pitch w:val="variable"/>
  </w:font>
  <w:font w:name="宋体">
    <w:altName w:val="宋体"/>
    <w:charset w:val="86"/>
    <w:family w:val="auto"/>
    <w:pitch w:val="variable"/>
  </w:font>
  <w:font w:name="方正小标宋简体">
    <w:altName w:val="方正小标宋简体"/>
    <w:charset w:val="86"/>
    <w:family w:val="script"/>
    <w:pitch w:val="fixed"/>
  </w:font>
  <w:font w:name="仿宋_GB2312">
    <w:altName w:val="仿宋_GB2312"/>
    <w:charset w:val="86"/>
    <w:family w:val="modern"/>
    <w:pitch w:val="fixed"/>
  </w:font>
  <w:font w:name="楷体_GB2312">
    <w:altName w:val="楷体_GB2312"/>
    <w:charset w:val="86"/>
    <w:family w:val="modern"/>
    <w:pitch w:val="fixed"/>
  </w:font>
  <w:font w:name="黑体">
    <w:altName w:val="黑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8.320pt;margin-top:747.415833pt;width:37.15pt;height:16.05pt;mso-position-horizontal-relative:page;mso-position-vertical-relative:page;z-index:-252175360"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2</w:t>
                </w:r>
                <w:r>
                  <w:rPr/>
                  <w:fldChar w:fldCharType="end"/>
                </w:r>
                <w:r>
                  <w:rPr>
                    <w:rFonts w:ascii="宋体"/>
                    <w:sz w:val="28"/>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5.600006pt;margin-top:747.415833pt;width:37pt;height:16.05pt;mso-position-horizontal-relative:page;mso-position-vertical-relative:page;z-index:-252174336"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3</w:t>
                </w:r>
                <w:r>
                  <w:rPr/>
                  <w:fldChar w:fldCharType="end"/>
                </w:r>
                <w:r>
                  <w:rPr>
                    <w:rFonts w:ascii="宋体"/>
                    <w:sz w:val="28"/>
                  </w:rPr>
                  <w:t> -</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8.320pt;margin-top:747.415833pt;width:44.1pt;height:16.05pt;mso-position-horizontal-relative:page;mso-position-vertical-relative:page;z-index:-252173312"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10</w:t>
                </w:r>
                <w:r>
                  <w:rPr/>
                  <w:fldChar w:fldCharType="end"/>
                </w:r>
                <w:r>
                  <w:rPr>
                    <w:rFonts w:ascii="宋体"/>
                    <w:sz w:val="28"/>
                  </w:rPr>
                  <w:t> -</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8.320pt;margin-top:747.415833pt;width:44.1pt;height:16.05pt;mso-position-horizontal-relative:page;mso-position-vertical-relative:page;z-index:-252172288"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12</w:t>
                </w:r>
                <w:r>
                  <w:rPr/>
                  <w:fldChar w:fldCharType="end"/>
                </w:r>
                <w:r>
                  <w:rPr>
                    <w:rFonts w:ascii="宋体"/>
                    <w:sz w:val="28"/>
                  </w:rPr>
                  <w:t> -</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30" w:hanging="322"/>
        <w:jc w:val="left"/>
      </w:pPr>
      <w:rPr>
        <w:rFonts w:hint="default" w:ascii="仿宋_GB2312" w:hAnsi="仿宋_GB2312" w:eastAsia="仿宋_GB2312" w:cs="仿宋_GB2312"/>
        <w:spacing w:val="-2"/>
        <w:w w:val="99"/>
        <w:sz w:val="30"/>
        <w:szCs w:val="30"/>
        <w:lang w:val="zh-CN" w:eastAsia="zh-CN" w:bidi="zh-CN"/>
      </w:rPr>
    </w:lvl>
    <w:lvl w:ilvl="1">
      <w:start w:val="0"/>
      <w:numFmt w:val="bullet"/>
      <w:lvlText w:val="•"/>
      <w:lvlJc w:val="left"/>
      <w:pPr>
        <w:ind w:left="2074" w:hanging="322"/>
      </w:pPr>
      <w:rPr>
        <w:rFonts w:hint="default"/>
        <w:lang w:val="zh-CN" w:eastAsia="zh-CN" w:bidi="zh-CN"/>
      </w:rPr>
    </w:lvl>
    <w:lvl w:ilvl="2">
      <w:start w:val="0"/>
      <w:numFmt w:val="bullet"/>
      <w:lvlText w:val="•"/>
      <w:lvlJc w:val="left"/>
      <w:pPr>
        <w:ind w:left="3009" w:hanging="322"/>
      </w:pPr>
      <w:rPr>
        <w:rFonts w:hint="default"/>
        <w:lang w:val="zh-CN" w:eastAsia="zh-CN" w:bidi="zh-CN"/>
      </w:rPr>
    </w:lvl>
    <w:lvl w:ilvl="3">
      <w:start w:val="0"/>
      <w:numFmt w:val="bullet"/>
      <w:lvlText w:val="•"/>
      <w:lvlJc w:val="left"/>
      <w:pPr>
        <w:ind w:left="3943" w:hanging="322"/>
      </w:pPr>
      <w:rPr>
        <w:rFonts w:hint="default"/>
        <w:lang w:val="zh-CN" w:eastAsia="zh-CN" w:bidi="zh-CN"/>
      </w:rPr>
    </w:lvl>
    <w:lvl w:ilvl="4">
      <w:start w:val="0"/>
      <w:numFmt w:val="bullet"/>
      <w:lvlText w:val="•"/>
      <w:lvlJc w:val="left"/>
      <w:pPr>
        <w:ind w:left="4878" w:hanging="322"/>
      </w:pPr>
      <w:rPr>
        <w:rFonts w:hint="default"/>
        <w:lang w:val="zh-CN" w:eastAsia="zh-CN" w:bidi="zh-CN"/>
      </w:rPr>
    </w:lvl>
    <w:lvl w:ilvl="5">
      <w:start w:val="0"/>
      <w:numFmt w:val="bullet"/>
      <w:lvlText w:val="•"/>
      <w:lvlJc w:val="left"/>
      <w:pPr>
        <w:ind w:left="5813" w:hanging="322"/>
      </w:pPr>
      <w:rPr>
        <w:rFonts w:hint="default"/>
        <w:lang w:val="zh-CN" w:eastAsia="zh-CN" w:bidi="zh-CN"/>
      </w:rPr>
    </w:lvl>
    <w:lvl w:ilvl="6">
      <w:start w:val="0"/>
      <w:numFmt w:val="bullet"/>
      <w:lvlText w:val="•"/>
      <w:lvlJc w:val="left"/>
      <w:pPr>
        <w:ind w:left="6747" w:hanging="322"/>
      </w:pPr>
      <w:rPr>
        <w:rFonts w:hint="default"/>
        <w:lang w:val="zh-CN" w:eastAsia="zh-CN" w:bidi="zh-CN"/>
      </w:rPr>
    </w:lvl>
    <w:lvl w:ilvl="7">
      <w:start w:val="0"/>
      <w:numFmt w:val="bullet"/>
      <w:lvlText w:val="•"/>
      <w:lvlJc w:val="left"/>
      <w:pPr>
        <w:ind w:left="7682" w:hanging="322"/>
      </w:pPr>
      <w:rPr>
        <w:rFonts w:hint="default"/>
        <w:lang w:val="zh-CN" w:eastAsia="zh-CN" w:bidi="zh-CN"/>
      </w:rPr>
    </w:lvl>
    <w:lvl w:ilvl="8">
      <w:start w:val="0"/>
      <w:numFmt w:val="bullet"/>
      <w:lvlText w:val="•"/>
      <w:lvlJc w:val="left"/>
      <w:pPr>
        <w:ind w:left="8616" w:hanging="322"/>
      </w:pPr>
      <w:rPr>
        <w:rFonts w:hint="default"/>
        <w:lang w:val="zh-CN" w:eastAsia="zh-CN" w:bidi="zh-CN"/>
      </w:rPr>
    </w:lvl>
  </w:abstractNum>
  <w:abstractNum w:abstractNumId="0">
    <w:multiLevelType w:val="hybridMultilevel"/>
    <w:lvl w:ilvl="0">
      <w:start w:val="1"/>
      <w:numFmt w:val="decimal"/>
      <w:lvlText w:val="%1."/>
      <w:lvlJc w:val="left"/>
      <w:pPr>
        <w:ind w:left="1130" w:hanging="322"/>
        <w:jc w:val="left"/>
      </w:pPr>
      <w:rPr>
        <w:rFonts w:hint="default" w:ascii="仿宋_GB2312" w:hAnsi="仿宋_GB2312" w:eastAsia="仿宋_GB2312" w:cs="仿宋_GB2312"/>
        <w:spacing w:val="-2"/>
        <w:w w:val="99"/>
        <w:sz w:val="30"/>
        <w:szCs w:val="30"/>
        <w:lang w:val="zh-CN" w:eastAsia="zh-CN" w:bidi="zh-CN"/>
      </w:rPr>
    </w:lvl>
    <w:lvl w:ilvl="1">
      <w:start w:val="0"/>
      <w:numFmt w:val="bullet"/>
      <w:lvlText w:val="•"/>
      <w:lvlJc w:val="left"/>
      <w:pPr>
        <w:ind w:left="2074" w:hanging="322"/>
      </w:pPr>
      <w:rPr>
        <w:rFonts w:hint="default"/>
        <w:lang w:val="zh-CN" w:eastAsia="zh-CN" w:bidi="zh-CN"/>
      </w:rPr>
    </w:lvl>
    <w:lvl w:ilvl="2">
      <w:start w:val="0"/>
      <w:numFmt w:val="bullet"/>
      <w:lvlText w:val="•"/>
      <w:lvlJc w:val="left"/>
      <w:pPr>
        <w:ind w:left="3009" w:hanging="322"/>
      </w:pPr>
      <w:rPr>
        <w:rFonts w:hint="default"/>
        <w:lang w:val="zh-CN" w:eastAsia="zh-CN" w:bidi="zh-CN"/>
      </w:rPr>
    </w:lvl>
    <w:lvl w:ilvl="3">
      <w:start w:val="0"/>
      <w:numFmt w:val="bullet"/>
      <w:lvlText w:val="•"/>
      <w:lvlJc w:val="left"/>
      <w:pPr>
        <w:ind w:left="3943" w:hanging="322"/>
      </w:pPr>
      <w:rPr>
        <w:rFonts w:hint="default"/>
        <w:lang w:val="zh-CN" w:eastAsia="zh-CN" w:bidi="zh-CN"/>
      </w:rPr>
    </w:lvl>
    <w:lvl w:ilvl="4">
      <w:start w:val="0"/>
      <w:numFmt w:val="bullet"/>
      <w:lvlText w:val="•"/>
      <w:lvlJc w:val="left"/>
      <w:pPr>
        <w:ind w:left="4878" w:hanging="322"/>
      </w:pPr>
      <w:rPr>
        <w:rFonts w:hint="default"/>
        <w:lang w:val="zh-CN" w:eastAsia="zh-CN" w:bidi="zh-CN"/>
      </w:rPr>
    </w:lvl>
    <w:lvl w:ilvl="5">
      <w:start w:val="0"/>
      <w:numFmt w:val="bullet"/>
      <w:lvlText w:val="•"/>
      <w:lvlJc w:val="left"/>
      <w:pPr>
        <w:ind w:left="5813" w:hanging="322"/>
      </w:pPr>
      <w:rPr>
        <w:rFonts w:hint="default"/>
        <w:lang w:val="zh-CN" w:eastAsia="zh-CN" w:bidi="zh-CN"/>
      </w:rPr>
    </w:lvl>
    <w:lvl w:ilvl="6">
      <w:start w:val="0"/>
      <w:numFmt w:val="bullet"/>
      <w:lvlText w:val="•"/>
      <w:lvlJc w:val="left"/>
      <w:pPr>
        <w:ind w:left="6747" w:hanging="322"/>
      </w:pPr>
      <w:rPr>
        <w:rFonts w:hint="default"/>
        <w:lang w:val="zh-CN" w:eastAsia="zh-CN" w:bidi="zh-CN"/>
      </w:rPr>
    </w:lvl>
    <w:lvl w:ilvl="7">
      <w:start w:val="0"/>
      <w:numFmt w:val="bullet"/>
      <w:lvlText w:val="•"/>
      <w:lvlJc w:val="left"/>
      <w:pPr>
        <w:ind w:left="7682" w:hanging="322"/>
      </w:pPr>
      <w:rPr>
        <w:rFonts w:hint="default"/>
        <w:lang w:val="zh-CN" w:eastAsia="zh-CN" w:bidi="zh-CN"/>
      </w:rPr>
    </w:lvl>
    <w:lvl w:ilvl="8">
      <w:start w:val="0"/>
      <w:numFmt w:val="bullet"/>
      <w:lvlText w:val="•"/>
      <w:lvlJc w:val="left"/>
      <w:pPr>
        <w:ind w:left="8616" w:hanging="322"/>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zh-CN" w:eastAsia="zh-CN" w:bidi="zh-CN"/>
    </w:rPr>
  </w:style>
  <w:style w:styleId="BodyText" w:type="paragraph">
    <w:name w:val="Body Text"/>
    <w:basedOn w:val="Normal"/>
    <w:uiPriority w:val="1"/>
    <w:qFormat/>
    <w:pPr/>
    <w:rPr>
      <w:rFonts w:ascii="仿宋_GB2312" w:hAnsi="仿宋_GB2312" w:eastAsia="仿宋_GB2312" w:cs="仿宋_GB2312"/>
      <w:sz w:val="32"/>
      <w:szCs w:val="32"/>
      <w:lang w:val="zh-CN" w:eastAsia="zh-CN" w:bidi="zh-CN"/>
    </w:rPr>
  </w:style>
  <w:style w:styleId="Heading1" w:type="paragraph">
    <w:name w:val="Heading 1"/>
    <w:basedOn w:val="Normal"/>
    <w:uiPriority w:val="1"/>
    <w:qFormat/>
    <w:pPr>
      <w:ind w:left="166"/>
      <w:outlineLvl w:val="1"/>
    </w:pPr>
    <w:rPr>
      <w:rFonts w:ascii="方正小标宋简体" w:hAnsi="方正小标宋简体" w:eastAsia="方正小标宋简体" w:cs="方正小标宋简体"/>
      <w:sz w:val="44"/>
      <w:szCs w:val="44"/>
      <w:lang w:val="zh-CN" w:eastAsia="zh-CN" w:bidi="zh-CN"/>
    </w:rPr>
  </w:style>
  <w:style w:styleId="ListParagraph" w:type="paragraph">
    <w:name w:val="List Paragraph"/>
    <w:basedOn w:val="Normal"/>
    <w:uiPriority w:val="1"/>
    <w:qFormat/>
    <w:pPr>
      <w:spacing w:before="149"/>
      <w:ind w:left="1130" w:hanging="322"/>
    </w:pPr>
    <w:rPr>
      <w:rFonts w:ascii="仿宋_GB2312" w:hAnsi="仿宋_GB2312" w:eastAsia="仿宋_GB2312" w:cs="仿宋_GB2312"/>
      <w:lang w:val="zh-CN" w:eastAsia="zh-CN" w:bidi="zh-CN"/>
    </w:rPr>
  </w:style>
  <w:style w:styleId="TableParagraph" w:type="paragraph">
    <w:name w:val="Table Paragraph"/>
    <w:basedOn w:val="Normal"/>
    <w:uiPriority w:val="1"/>
    <w:qFormat/>
    <w:pPr>
      <w:spacing w:before="44"/>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dc:title>兴西发〔     〕  号</dc:title>
  <dcterms:created xsi:type="dcterms:W3CDTF">2022-07-12T07:28:12Z</dcterms:created>
  <dcterms:modified xsi:type="dcterms:W3CDTF">2022-07-12T07:28:12Z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WPS 文字</vt:lpwstr>
  </property>
  <property fmtid="{D5CDD505-2E9C-101B-9397-08002B2CF9AE}" pid="4" name="LastSaved">
    <vt:filetime>2022-07-12T00:00:00Z</vt:filetime>
  </property>
</Properties>
</file>