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r>
        <w:pict>
          <v:shape id="_x0000_s1026" o:spid="_x0000_s1026" o:spt="136" type="#_x0000_t136" style="position:absolute;left:0pt;margin-left:14.1pt;margin-top:401.4pt;height:48pt;width:576pt;mso-position-horizontal-relative:page;mso-position-vertical-relative:page;rotation:20643840f;z-index:-253147136;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15"/>
        </w:rPr>
      </w:pPr>
    </w:p>
    <w:p>
      <w:pPr>
        <w:pStyle w:val="3"/>
        <w:ind w:left="111"/>
        <w:rPr>
          <w:rFonts w:ascii="Times New Roman"/>
          <w:sz w:val="20"/>
        </w:rPr>
      </w:pPr>
      <w:r>
        <w:rPr>
          <w:rFonts w:ascii="Times New Roman"/>
          <w:sz w:val="20"/>
        </w:rPr>
        <w:pict>
          <v:group id="_x0000_s1027" o:spid="_x0000_s1027" o:spt="203" style="height:169.5pt;width:445.95pt;" coordsize="8919,3390">
            <o:lock v:ext="edit"/>
            <v:shape id="_x0000_s1028" o:spid="_x0000_s1028" o:spt="75" type="#_x0000_t75" style="position:absolute;left:0;top:0;height:3390;width:8919;" filled="f" stroked="f" coordsize="21600,21600">
              <v:path/>
              <v:fill on="f" focussize="0,0"/>
              <v:stroke on="f"/>
              <v:imagedata r:id="rId12" o:title=""/>
              <o:lock v:ext="edit" aspectratio="t"/>
            </v:shape>
            <v:shape id="_x0000_s1029" o:spid="_x0000_s1029" o:spt="202" type="#_x0000_t202" style="position:absolute;left:2918;top:2906;height:319;width:3145;"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兴西政发〔2022〕6</w:t>
                    </w:r>
                    <w:r>
                      <w:rPr>
                        <w:spacing w:val="-40"/>
                        <w:sz w:val="32"/>
                      </w:rPr>
                      <w:t xml:space="preserve"> 号</w:t>
                    </w:r>
                  </w:p>
                </w:txbxContent>
              </v:textbox>
            </v:shape>
            <w10:wrap type="none"/>
            <w10:anchorlock/>
          </v:group>
        </w:pict>
      </w:r>
    </w:p>
    <w:p>
      <w:pPr>
        <w:pStyle w:val="3"/>
        <w:rPr>
          <w:rFonts w:ascii="Times New Roman"/>
          <w:sz w:val="20"/>
        </w:rPr>
      </w:pPr>
    </w:p>
    <w:p>
      <w:pPr>
        <w:pStyle w:val="3"/>
        <w:rPr>
          <w:rFonts w:ascii="Times New Roman"/>
          <w:sz w:val="20"/>
        </w:rPr>
      </w:pPr>
    </w:p>
    <w:p>
      <w:pPr>
        <w:pStyle w:val="3"/>
        <w:spacing w:before="1"/>
        <w:rPr>
          <w:rFonts w:ascii="Times New Roman"/>
          <w:sz w:val="22"/>
        </w:rPr>
      </w:pPr>
    </w:p>
    <w:p>
      <w:pPr>
        <w:pStyle w:val="2"/>
        <w:spacing w:line="643" w:lineRule="exact"/>
        <w:ind w:left="407"/>
      </w:pPr>
      <w:r>
        <w:t>大兴区西红门镇人民政府</w:t>
      </w:r>
    </w:p>
    <w:p>
      <w:pPr>
        <w:spacing w:before="38" w:line="172" w:lineRule="auto"/>
        <w:ind w:left="408" w:right="1704" w:firstLine="0"/>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关于“新大兴、新国门、和谐宜居新家园” 提升居民居住环境综合整治行动</w:t>
      </w:r>
    </w:p>
    <w:p>
      <w:pPr>
        <w:spacing w:before="0" w:line="629" w:lineRule="exact"/>
        <w:ind w:left="399" w:right="1704" w:firstLine="0"/>
        <w:jc w:val="center"/>
        <w:rPr>
          <w:rFonts w:hint="eastAsia" w:ascii="方正小标宋简体" w:eastAsia="方正小标宋简体"/>
          <w:sz w:val="44"/>
        </w:rPr>
      </w:pPr>
      <w:r>
        <w:rPr>
          <w:rFonts w:hint="eastAsia" w:ascii="方正小标宋简体" w:eastAsia="方正小标宋简体"/>
          <w:sz w:val="44"/>
        </w:rPr>
        <w:t>实施方案</w:t>
      </w:r>
    </w:p>
    <w:p>
      <w:pPr>
        <w:pStyle w:val="3"/>
        <w:spacing w:before="2"/>
        <w:rPr>
          <w:rFonts w:ascii="方正小标宋简体"/>
          <w:sz w:val="31"/>
        </w:rPr>
      </w:pPr>
    </w:p>
    <w:p>
      <w:pPr>
        <w:pStyle w:val="3"/>
        <w:spacing w:before="1" w:line="316" w:lineRule="auto"/>
        <w:ind w:left="166" w:right="1296" w:firstLine="643"/>
      </w:pPr>
      <w:r>
        <w:pict>
          <v:shape id="_x0000_s1030" o:spid="_x0000_s1030" o:spt="202" type="#_x0000_t202" style="position:absolute;left:0pt;margin-left:486.6pt;margin-top:189pt;height:14.05pt;width:35pt;mso-position-horizontal-relative:page;z-index:-253148160;mso-width-relative:page;mso-height-relative:page;" filled="f" stroked="f" coordsize="21600,21600">
            <v:path/>
            <v:fill on="f" focussize="0,0"/>
            <v:stroke on="f" joinstyle="miter"/>
            <v:imagedata o:title=""/>
            <o:lock v:ext="edit"/>
            <v:textbox inset="0mm,0mm,0mm,0mm">
              <w:txbxContent>
                <w:p>
                  <w:pPr>
                    <w:spacing w:before="0" w:line="281" w:lineRule="exact"/>
                    <w:ind w:left="0" w:right="0" w:firstLine="0"/>
                    <w:jc w:val="left"/>
                    <w:rPr>
                      <w:sz w:val="28"/>
                    </w:rPr>
                  </w:pPr>
                  <w:r>
                    <w:rPr>
                      <w:sz w:val="28"/>
                    </w:rPr>
                    <w:t>- 1 -</w:t>
                  </w:r>
                </w:p>
              </w:txbxContent>
            </v:textbox>
          </v:shape>
        </w:pict>
      </w:r>
      <w:r>
        <w:rPr>
          <w:spacing w:val="-23"/>
        </w:rPr>
        <w:t>为不断增强我镇居民居住获得感、幸福感、安全感，按照“新</w:t>
      </w:r>
      <w:r>
        <w:rPr>
          <w:spacing w:val="-14"/>
        </w:rPr>
        <w:t>大兴、新国门”的城市发展理念，西红门镇全面开展提升居民居住环境综合整治行动(</w:t>
      </w:r>
      <w:r>
        <w:rPr>
          <w:rFonts w:hint="eastAsia" w:ascii="楷体_GB2312" w:hAnsi="楷体_GB2312" w:eastAsia="楷体_GB2312"/>
          <w:spacing w:val="-11"/>
        </w:rPr>
        <w:t>以下简称“整治行动</w:t>
      </w:r>
      <w:r>
        <w:rPr>
          <w:spacing w:val="-10"/>
        </w:rPr>
        <w:t xml:space="preserve">”)。根据区委书记王有国关于“各镇街要抓出一个样本、楼栋做示范，让大家学习， </w:t>
      </w:r>
      <w:r>
        <w:rPr>
          <w:spacing w:val="-21"/>
        </w:rPr>
        <w:t xml:space="preserve">然后一个楼门一个楼门，一栋楼一栋楼，一个小区一个小区清理， </w:t>
      </w:r>
      <w:r>
        <w:rPr>
          <w:spacing w:val="-15"/>
        </w:rPr>
        <w:t>反复清，宣传教育与执法处罚相结合，抓好整治行动”的指示要求，根据西红门镇实际情况，制定本实施方案。</w:t>
      </w:r>
    </w:p>
    <w:p>
      <w:pPr>
        <w:spacing w:after="0" w:line="316" w:lineRule="auto"/>
        <w:sectPr>
          <w:type w:val="continuous"/>
          <w:pgSz w:w="11910" w:h="16840"/>
          <w:pgMar w:top="1580" w:right="0" w:bottom="280" w:left="1420" w:header="720" w:footer="720" w:gutter="0"/>
        </w:sectPr>
      </w:pPr>
    </w:p>
    <w:p>
      <w:pPr>
        <w:pStyle w:val="3"/>
        <w:rPr>
          <w:sz w:val="20"/>
        </w:rPr>
      </w:pPr>
      <w:r>
        <w:pict>
          <v:shape id="_x0000_s1031" o:spid="_x0000_s1031" o:spt="136" type="#_x0000_t136" style="position:absolute;left:0pt;margin-left:14.1pt;margin-top:401.4pt;height:48pt;width:576pt;mso-position-horizontal-relative:page;mso-position-vertical-relative:page;rotation:20643840f;z-index:-253146112;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line="316" w:lineRule="auto"/>
        <w:ind w:left="166" w:right="1314" w:firstLine="643"/>
        <w:jc w:val="both"/>
      </w:pPr>
      <w:r>
        <w:rPr>
          <w:spacing w:val="-7"/>
        </w:rPr>
        <w:t>整治行动以提升居民居住环境质量为出发点、以居民满意为</w:t>
      </w:r>
      <w:r>
        <w:rPr>
          <w:spacing w:val="-12"/>
        </w:rPr>
        <w:t>落脚点、以切实解决居住环境问题为衡量标准，统筹抓好“十大</w:t>
      </w:r>
      <w:r>
        <w:rPr>
          <w:spacing w:val="-14"/>
        </w:rPr>
        <w:t>环境问题”、“门前三包”环境综合整治工作，全面推动城市精</w:t>
      </w:r>
      <w:r>
        <w:rPr>
          <w:spacing w:val="-20"/>
        </w:rPr>
        <w:t>细化管理，努力打造和谐宜居的新大兴。现将有关工作安排如下：</w:t>
      </w:r>
    </w:p>
    <w:p>
      <w:pPr>
        <w:pStyle w:val="3"/>
        <w:spacing w:line="405" w:lineRule="exact"/>
        <w:ind w:left="809"/>
        <w:rPr>
          <w:rFonts w:hint="eastAsia" w:ascii="黑体" w:eastAsia="黑体"/>
        </w:rPr>
      </w:pPr>
      <w:bookmarkStart w:id="0" w:name="一、工作原则"/>
      <w:bookmarkEnd w:id="0"/>
      <w:r>
        <w:rPr>
          <w:rFonts w:hint="eastAsia" w:ascii="黑体" w:eastAsia="黑体"/>
        </w:rPr>
        <w:t>一、工作原则</w:t>
      </w:r>
    </w:p>
    <w:p>
      <w:pPr>
        <w:pStyle w:val="3"/>
        <w:spacing w:before="130" w:line="316" w:lineRule="auto"/>
        <w:ind w:left="166" w:right="1298" w:firstLine="643"/>
      </w:pPr>
      <w:r>
        <w:rPr>
          <w:spacing w:val="-24"/>
        </w:rPr>
        <w:t>以提升为民服务水平为宗旨，有效改善城区人居环境。以“创</w:t>
      </w:r>
      <w:r>
        <w:rPr>
          <w:spacing w:val="-14"/>
        </w:rPr>
        <w:t>城”、“创卫”为抓手，按照“未诉先办”的工作原则，西红门</w:t>
      </w:r>
      <w:r>
        <w:rPr>
          <w:spacing w:val="-18"/>
        </w:rPr>
        <w:t>镇各社区全面开展整治行动，各成员单位协同推进，通过城管执</w:t>
      </w:r>
      <w:r>
        <w:rPr>
          <w:spacing w:val="-20"/>
        </w:rPr>
        <w:t xml:space="preserve">法、派出所、市场监管等相关部门执法力量，强化部门联动配合， </w:t>
      </w:r>
      <w:r>
        <w:rPr>
          <w:spacing w:val="-16"/>
        </w:rPr>
        <w:t>精准调度，形成整治合力和执法闭环，进一步完善综合治理长效</w:t>
      </w:r>
      <w:r>
        <w:rPr>
          <w:spacing w:val="-15"/>
        </w:rPr>
        <w:t>机制，激发基层主动治理工作效能，不断提高居住环境质量和居民满意率。</w:t>
      </w:r>
    </w:p>
    <w:p>
      <w:pPr>
        <w:pStyle w:val="3"/>
        <w:spacing w:line="402" w:lineRule="exact"/>
        <w:ind w:left="809"/>
        <w:rPr>
          <w:rFonts w:hint="eastAsia" w:ascii="黑体" w:eastAsia="黑体"/>
        </w:rPr>
      </w:pPr>
      <w:bookmarkStart w:id="1" w:name="二、工作目标"/>
      <w:bookmarkEnd w:id="1"/>
      <w:r>
        <w:rPr>
          <w:rFonts w:hint="eastAsia" w:ascii="黑体" w:eastAsia="黑体"/>
        </w:rPr>
        <w:t>二、工作目标</w:t>
      </w:r>
    </w:p>
    <w:p>
      <w:pPr>
        <w:pStyle w:val="3"/>
        <w:spacing w:before="130" w:line="316" w:lineRule="auto"/>
        <w:ind w:left="166" w:right="1458" w:firstLine="643"/>
        <w:jc w:val="both"/>
      </w:pPr>
      <w:r>
        <w:rPr>
          <w:spacing w:val="-11"/>
        </w:rPr>
        <w:t>要深挖问题根源，开展源头治理，以居住小区“十大环境问</w:t>
      </w:r>
      <w:r>
        <w:rPr>
          <w:spacing w:val="-13"/>
        </w:rPr>
        <w:t>题”、沿街商铺“门前三包”责任落实问题等整治薄弱区域为工</w:t>
      </w:r>
      <w:r>
        <w:rPr>
          <w:spacing w:val="-14"/>
        </w:rPr>
        <w:t>作重点，全面做好整治工作。整治行动力求根治一批违法行为集</w:t>
      </w:r>
      <w:r>
        <w:rPr>
          <w:spacing w:val="-17"/>
        </w:rPr>
        <w:t>中的问题高发点位；曝光一批典型违法单位及个人，形成有力的</w:t>
      </w:r>
      <w:r>
        <w:rPr>
          <w:spacing w:val="-15"/>
        </w:rPr>
        <w:t>法律震慑；规范一批沿街随意经商的小商小贩，营造良好的街面</w:t>
      </w:r>
      <w:r>
        <w:rPr>
          <w:spacing w:val="-12"/>
        </w:rPr>
        <w:t>秩序。彻底改变城区人居环境，进一步提升大兴“新国门”整体形象。</w:t>
      </w:r>
    </w:p>
    <w:p>
      <w:pPr>
        <w:pStyle w:val="3"/>
        <w:spacing w:line="402" w:lineRule="exact"/>
        <w:ind w:left="809"/>
        <w:rPr>
          <w:rFonts w:hint="eastAsia" w:ascii="黑体" w:eastAsia="黑体"/>
        </w:rPr>
      </w:pPr>
      <w:bookmarkStart w:id="2" w:name="三、组织领导"/>
      <w:bookmarkEnd w:id="2"/>
      <w:r>
        <w:rPr>
          <w:rFonts w:hint="eastAsia" w:ascii="黑体" w:eastAsia="黑体"/>
        </w:rPr>
        <w:t>三、组织领导</w:t>
      </w:r>
    </w:p>
    <w:p>
      <w:pPr>
        <w:pStyle w:val="3"/>
        <w:tabs>
          <w:tab w:val="left" w:pos="1450"/>
        </w:tabs>
        <w:spacing w:before="130" w:line="316" w:lineRule="auto"/>
        <w:ind w:left="809" w:right="4548"/>
      </w:pPr>
      <w:r>
        <w:t>组</w:t>
      </w:r>
      <w:r>
        <w:tab/>
      </w:r>
      <w:r>
        <w:t>长：镇党委副书记、镇长赵传</w:t>
      </w:r>
      <w:r>
        <w:rPr>
          <w:spacing w:val="-13"/>
        </w:rPr>
        <w:t>富</w:t>
      </w:r>
      <w:r>
        <w:t>副组长：副镇长丁路、副镇长徐可</w:t>
      </w:r>
    </w:p>
    <w:p>
      <w:pPr>
        <w:spacing w:after="0" w:line="316" w:lineRule="auto"/>
        <w:sectPr>
          <w:footerReference r:id="rId3" w:type="default"/>
          <w:footerReference r:id="rId4" w:type="even"/>
          <w:pgSz w:w="11910" w:h="16840"/>
          <w:pgMar w:top="1580" w:right="0" w:bottom="1880" w:left="1420" w:header="0" w:footer="1689" w:gutter="0"/>
          <w:pgNumType w:start="2"/>
        </w:sectPr>
      </w:pPr>
    </w:p>
    <w:p>
      <w:pPr>
        <w:pStyle w:val="3"/>
        <w:rPr>
          <w:sz w:val="20"/>
        </w:rPr>
      </w:pPr>
      <w:r>
        <w:pict>
          <v:shape id="_x0000_s1032" o:spid="_x0000_s1032" o:spt="136" type="#_x0000_t136" style="position:absolute;left:0pt;margin-left:14.1pt;margin-top:401.4pt;height:48pt;width:576pt;mso-position-horizontal-relative:page;mso-position-vertical-relative:page;rotation:20643840f;z-index:-253145088;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line="316" w:lineRule="auto"/>
        <w:ind w:left="166" w:right="1302" w:firstLine="643"/>
      </w:pPr>
      <w:r>
        <w:rPr>
          <w:spacing w:val="-15"/>
        </w:rPr>
        <w:t>成员单位：纪委监察办、党群工作办公室</w:t>
      </w:r>
      <w:r>
        <w:t>（宣传</w:t>
      </w:r>
      <w:r>
        <w:rPr>
          <w:spacing w:val="-58"/>
        </w:rPr>
        <w:t>）</w:t>
      </w:r>
      <w:r>
        <w:rPr>
          <w:spacing w:val="-12"/>
        </w:rPr>
        <w:t>、创城办、综合行政执法队、市场监管所、民生保障办公室（卫生健康）、</w:t>
      </w:r>
      <w:r>
        <w:rPr>
          <w:spacing w:val="-13"/>
        </w:rPr>
        <w:t>城乡建设办公室</w:t>
      </w:r>
      <w:r>
        <w:t>（环整</w:t>
      </w:r>
      <w:r>
        <w:rPr>
          <w:spacing w:val="-19"/>
        </w:rPr>
        <w:t>）</w:t>
      </w:r>
      <w:r>
        <w:rPr>
          <w:spacing w:val="-7"/>
        </w:rPr>
        <w:t>、平安建设办公室</w:t>
      </w:r>
      <w:r>
        <w:t>（安全</w:t>
      </w:r>
      <w:r>
        <w:rPr>
          <w:spacing w:val="-19"/>
        </w:rPr>
        <w:t>）</w:t>
      </w:r>
      <w:r>
        <w:rPr>
          <w:spacing w:val="-5"/>
        </w:rPr>
        <w:t>、平安建设</w:t>
      </w:r>
      <w:r>
        <w:rPr>
          <w:spacing w:val="-9"/>
        </w:rPr>
        <w:t>办公室</w:t>
      </w:r>
      <w:r>
        <w:t>（综治</w:t>
      </w:r>
      <w:r>
        <w:rPr>
          <w:spacing w:val="-17"/>
        </w:rPr>
        <w:t>）</w:t>
      </w:r>
      <w:r>
        <w:rPr>
          <w:spacing w:val="-7"/>
        </w:rPr>
        <w:t>、派出所、产业发展服务中心</w:t>
      </w:r>
      <w:r>
        <w:t>（林业</w:t>
      </w:r>
      <w:r>
        <w:rPr>
          <w:spacing w:val="-15"/>
        </w:rPr>
        <w:t>）</w:t>
      </w:r>
      <w:r>
        <w:rPr>
          <w:spacing w:val="-6"/>
        </w:rPr>
        <w:t>、镇城指中心、社区建设办公室（社区）、各社区居委会。</w:t>
      </w:r>
    </w:p>
    <w:p>
      <w:pPr>
        <w:pStyle w:val="3"/>
        <w:spacing w:line="316" w:lineRule="auto"/>
        <w:ind w:left="166" w:right="1311" w:firstLine="643"/>
      </w:pPr>
      <w:r>
        <w:rPr>
          <w:spacing w:val="-11"/>
        </w:rPr>
        <w:t xml:space="preserve">为保证整治行动工作效果，西红门镇根据工作安排开展自查, </w:t>
      </w:r>
      <w:r>
        <w:rPr>
          <w:spacing w:val="-16"/>
        </w:rPr>
        <w:t>督导问题点位整改，完善自查整改长效工作机制。本次整治行动</w:t>
      </w:r>
      <w:r>
        <w:rPr>
          <w:spacing w:val="-46"/>
        </w:rPr>
        <w:t xml:space="preserve">以 </w:t>
      </w:r>
      <w:r>
        <w:t>2022</w:t>
      </w:r>
      <w:r>
        <w:rPr>
          <w:spacing w:val="-8"/>
        </w:rPr>
        <w:t xml:space="preserve"> 年度为起始点，长期坚持。西红门镇逐小区、逐商铺开</w:t>
      </w:r>
      <w:r>
        <w:rPr>
          <w:spacing w:val="-15"/>
        </w:rPr>
        <w:t>展地毯式整治行动，努力打造“人人共建和谐社区、处处皆是文明商铺”的新大兴宜居环境。</w:t>
      </w:r>
    </w:p>
    <w:p>
      <w:pPr>
        <w:pStyle w:val="3"/>
        <w:spacing w:line="404" w:lineRule="exact"/>
        <w:ind w:left="809"/>
        <w:rPr>
          <w:rFonts w:hint="eastAsia" w:ascii="黑体" w:eastAsia="黑体"/>
        </w:rPr>
      </w:pPr>
      <w:r>
        <w:rPr>
          <w:rFonts w:hint="eastAsia" w:ascii="黑体" w:eastAsia="黑体"/>
        </w:rPr>
        <w:t>四、整治内容</w:t>
      </w:r>
    </w:p>
    <w:p>
      <w:pPr>
        <w:pStyle w:val="3"/>
        <w:spacing w:before="124" w:line="316" w:lineRule="auto"/>
        <w:ind w:left="166" w:right="1296" w:firstLine="643"/>
      </w:pPr>
      <w:r>
        <w:t>各成员单位、各社区紧密配合，充分结合“创城”“创卫” 工作，以“三多两难一缺失”（堆物堆料多、占用消防通道多、</w:t>
      </w:r>
      <w:r>
        <w:rPr>
          <w:spacing w:val="-18"/>
        </w:rPr>
        <w:t>绿篱存在的白色漂浮物多，停车难、门前三包落实难，绿化缺失</w:t>
      </w:r>
      <w:r>
        <w:t xml:space="preserve">） 问题为导向，按照“由内到外、横向到边、纵向到底”的要求， </w:t>
      </w:r>
      <w:r>
        <w:rPr>
          <w:spacing w:val="-11"/>
        </w:rPr>
        <w:t>严抓“门前三包”不履责问题和“十大环境问题”。“十大环境</w:t>
      </w:r>
      <w:r>
        <w:rPr>
          <w:spacing w:val="-19"/>
        </w:rPr>
        <w:t>问题”包括：</w:t>
      </w:r>
      <w:r>
        <w:rPr>
          <w:spacing w:val="-36"/>
        </w:rPr>
        <w:t>（</w:t>
      </w:r>
      <w:r>
        <w:rPr>
          <w:rFonts w:ascii="Times New Roman" w:hAnsi="Times New Roman" w:eastAsia="Times New Roman"/>
          <w:spacing w:val="-36"/>
        </w:rPr>
        <w:t>1</w:t>
      </w:r>
      <w:r>
        <w:rPr>
          <w:spacing w:val="-36"/>
        </w:rPr>
        <w:t>）</w:t>
      </w:r>
      <w:r>
        <w:rPr>
          <w:spacing w:val="-2"/>
        </w:rPr>
        <w:t>居民生活垃圾分类行为不规范整治行动；</w:t>
      </w:r>
      <w:r>
        <w:rPr>
          <w:spacing w:val="-24"/>
        </w:rPr>
        <w:t>（</w:t>
      </w:r>
      <w:r>
        <w:rPr>
          <w:rFonts w:ascii="Times New Roman" w:hAnsi="Times New Roman" w:eastAsia="Times New Roman"/>
          <w:spacing w:val="-24"/>
        </w:rPr>
        <w:t>2</w:t>
      </w:r>
      <w:r>
        <w:rPr>
          <w:spacing w:val="-24"/>
        </w:rPr>
        <w:t xml:space="preserve">） </w:t>
      </w:r>
      <w:r>
        <w:t>小区卫生死角和楼道堆积废弃物整治行动；</w:t>
      </w:r>
      <w:r>
        <w:rPr>
          <w:spacing w:val="2"/>
        </w:rPr>
        <w:t>（</w:t>
      </w:r>
      <w:r>
        <w:rPr>
          <w:rFonts w:ascii="Times New Roman" w:hAnsi="Times New Roman" w:eastAsia="Times New Roman"/>
          <w:spacing w:val="2"/>
        </w:rPr>
        <w:t>3</w:t>
      </w:r>
      <w:r>
        <w:rPr>
          <w:spacing w:val="2"/>
        </w:rPr>
        <w:t>）</w:t>
      </w:r>
      <w:r>
        <w:t>生活垃圾乱堆乱放整治行动</w:t>
      </w:r>
      <w:r>
        <w:rPr>
          <w:spacing w:val="2"/>
        </w:rPr>
        <w:t>；（</w:t>
      </w:r>
      <w:r>
        <w:rPr>
          <w:rFonts w:ascii="Times New Roman" w:hAnsi="Times New Roman" w:eastAsia="Times New Roman"/>
          <w:spacing w:val="2"/>
        </w:rPr>
        <w:t>4</w:t>
      </w:r>
      <w:r>
        <w:rPr>
          <w:spacing w:val="2"/>
        </w:rPr>
        <w:t>）</w:t>
      </w:r>
      <w:r>
        <w:t>非法张贴、喷涂、散发小广告整治行动；</w:t>
      </w:r>
    </w:p>
    <w:p>
      <w:pPr>
        <w:pStyle w:val="7"/>
        <w:numPr>
          <w:ilvl w:val="0"/>
          <w:numId w:val="1"/>
        </w:numPr>
        <w:tabs>
          <w:tab w:val="left" w:pos="969"/>
        </w:tabs>
        <w:spacing w:before="0" w:after="0" w:line="316" w:lineRule="auto"/>
        <w:ind w:left="166" w:right="1298" w:firstLine="0"/>
        <w:jc w:val="left"/>
        <w:rPr>
          <w:sz w:val="32"/>
        </w:rPr>
      </w:pPr>
      <w:r>
        <w:rPr>
          <w:spacing w:val="-2"/>
          <w:sz w:val="32"/>
        </w:rPr>
        <w:t>文明养犬整治行动；</w:t>
      </w:r>
      <w:r>
        <w:rPr>
          <w:spacing w:val="-11"/>
          <w:sz w:val="32"/>
        </w:rPr>
        <w:t>（</w:t>
      </w:r>
      <w:r>
        <w:rPr>
          <w:rFonts w:ascii="Times New Roman" w:hAnsi="Times New Roman" w:eastAsia="Times New Roman"/>
          <w:spacing w:val="-11"/>
          <w:sz w:val="32"/>
        </w:rPr>
        <w:t>6</w:t>
      </w:r>
      <w:r>
        <w:rPr>
          <w:spacing w:val="-11"/>
          <w:sz w:val="32"/>
        </w:rPr>
        <w:t>）</w:t>
      </w:r>
      <w:r>
        <w:rPr>
          <w:spacing w:val="-7"/>
          <w:sz w:val="32"/>
        </w:rPr>
        <w:t>小区“僵尸车”整治行动；（</w:t>
      </w:r>
      <w:r>
        <w:rPr>
          <w:rFonts w:ascii="Times New Roman" w:hAnsi="Times New Roman" w:eastAsia="Times New Roman"/>
          <w:spacing w:val="-7"/>
          <w:sz w:val="32"/>
        </w:rPr>
        <w:t>7</w:t>
      </w:r>
      <w:r>
        <w:rPr>
          <w:spacing w:val="-7"/>
          <w:sz w:val="32"/>
        </w:rPr>
        <w:t xml:space="preserve">） </w:t>
      </w:r>
      <w:r>
        <w:rPr>
          <w:sz w:val="32"/>
        </w:rPr>
        <w:t>电动自行车消防安全整治行动；</w:t>
      </w:r>
      <w:r>
        <w:rPr>
          <w:spacing w:val="2"/>
          <w:sz w:val="32"/>
        </w:rPr>
        <w:t>（</w:t>
      </w:r>
      <w:r>
        <w:rPr>
          <w:rFonts w:ascii="Times New Roman" w:hAnsi="Times New Roman" w:eastAsia="Times New Roman"/>
          <w:spacing w:val="2"/>
          <w:sz w:val="32"/>
        </w:rPr>
        <w:t>8</w:t>
      </w:r>
      <w:r>
        <w:rPr>
          <w:spacing w:val="2"/>
          <w:sz w:val="32"/>
        </w:rPr>
        <w:t>）</w:t>
      </w:r>
      <w:r>
        <w:rPr>
          <w:sz w:val="32"/>
        </w:rPr>
        <w:t>车辆占用消防通道整治行</w:t>
      </w:r>
      <w:r>
        <w:rPr>
          <w:spacing w:val="1"/>
          <w:sz w:val="32"/>
        </w:rPr>
        <w:t>动；</w:t>
      </w:r>
      <w:r>
        <w:rPr>
          <w:spacing w:val="2"/>
          <w:sz w:val="32"/>
        </w:rPr>
        <w:t>（</w:t>
      </w:r>
      <w:r>
        <w:rPr>
          <w:rFonts w:ascii="Times New Roman" w:hAnsi="Times New Roman" w:eastAsia="Times New Roman"/>
          <w:spacing w:val="2"/>
          <w:sz w:val="32"/>
        </w:rPr>
        <w:t>9</w:t>
      </w:r>
      <w:r>
        <w:rPr>
          <w:spacing w:val="2"/>
          <w:sz w:val="32"/>
        </w:rPr>
        <w:t>）</w:t>
      </w:r>
      <w:r>
        <w:rPr>
          <w:sz w:val="32"/>
        </w:rPr>
        <w:t>拆除违法建筑整治行动；</w:t>
      </w:r>
      <w:r>
        <w:rPr>
          <w:spacing w:val="2"/>
          <w:sz w:val="32"/>
        </w:rPr>
        <w:t>（</w:t>
      </w:r>
      <w:r>
        <w:rPr>
          <w:rFonts w:ascii="Times New Roman" w:hAnsi="Times New Roman" w:eastAsia="Times New Roman"/>
          <w:spacing w:val="2"/>
          <w:sz w:val="32"/>
        </w:rPr>
        <w:t>10</w:t>
      </w:r>
      <w:r>
        <w:rPr>
          <w:spacing w:val="2"/>
          <w:sz w:val="32"/>
        </w:rPr>
        <w:t>）</w:t>
      </w:r>
      <w:r>
        <w:rPr>
          <w:sz w:val="32"/>
        </w:rPr>
        <w:t>季节性环境治理整治行动。</w:t>
      </w:r>
    </w:p>
    <w:p>
      <w:pPr>
        <w:spacing w:after="0" w:line="316" w:lineRule="auto"/>
        <w:jc w:val="left"/>
        <w:rPr>
          <w:sz w:val="32"/>
        </w:rPr>
        <w:sectPr>
          <w:pgSz w:w="11910" w:h="16840"/>
          <w:pgMar w:top="1580" w:right="0" w:bottom="1880" w:left="1420" w:header="0" w:footer="1689" w:gutter="0"/>
        </w:sectPr>
      </w:pPr>
    </w:p>
    <w:p>
      <w:pPr>
        <w:pStyle w:val="3"/>
        <w:rPr>
          <w:sz w:val="20"/>
        </w:rPr>
      </w:pPr>
      <w:r>
        <w:pict>
          <v:shape id="_x0000_s1033" o:spid="_x0000_s1033" o:spt="136" type="#_x0000_t136" style="position:absolute;left:0pt;margin-left:14.1pt;margin-top:401.4pt;height:48pt;width:576pt;mso-position-horizontal-relative:page;mso-position-vertical-relative:page;rotation:20643840f;z-index:-25314406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ind w:left="809"/>
        <w:rPr>
          <w:rFonts w:hint="eastAsia" w:ascii="楷体_GB2312" w:hAnsi="楷体_GB2312" w:eastAsia="楷体_GB2312"/>
        </w:rPr>
      </w:pPr>
      <w:r>
        <w:rPr>
          <w:rFonts w:hint="eastAsia" w:ascii="楷体_GB2312" w:hAnsi="楷体_GB2312" w:eastAsia="楷体_GB2312"/>
        </w:rPr>
        <w:t>(一)沿街商铺“门前三包”不履责整治行动</w:t>
      </w:r>
    </w:p>
    <w:p>
      <w:pPr>
        <w:pStyle w:val="3"/>
        <w:spacing w:before="130" w:line="316" w:lineRule="auto"/>
        <w:ind w:left="166" w:right="1296" w:firstLine="643"/>
      </w:pPr>
      <w:r>
        <w:rPr>
          <w:spacing w:val="-11"/>
        </w:rPr>
        <w:t>由相关部门牵头，会同有关部门联合开展整治行动。加强统</w:t>
      </w:r>
      <w:r>
        <w:rPr>
          <w:spacing w:val="-13"/>
        </w:rPr>
        <w:t>筹，采取宣传、指导、曝光、执法的方式，督促辖区内沿街所有</w:t>
      </w:r>
      <w:r>
        <w:rPr>
          <w:spacing w:val="-15"/>
        </w:rPr>
        <w:t>单位严格落实“门前三包”责任制，实现无堆物堆料、无店外经</w:t>
      </w:r>
      <w:r>
        <w:rPr>
          <w:spacing w:val="-19"/>
        </w:rPr>
        <w:t>营、无无证照经营、无沿街晾晒、无违规广告牌匾、无乱倒垃圾、</w:t>
      </w:r>
      <w:r>
        <w:rPr>
          <w:spacing w:val="-15"/>
        </w:rPr>
        <w:t>无乱停车、无污水横流、无开墙打洞、无暴露垃圾、无非法小广</w:t>
      </w:r>
      <w:r>
        <w:rPr>
          <w:spacing w:val="-13"/>
        </w:rPr>
        <w:t>告、无绿化缺损、无乱刻乱画、无乱贴乱挂、无设施污损。各社区统筹辖区内网格员、志愿者、楼门长、拉家常议事会等力量， 利用“吹哨报到”工作机制，采取集中整治与日常执法相结合的方式，加大对居住环境、秩序环境的执法处罚力度，促进“门前三包”责任制有效落实。</w:t>
      </w:r>
    </w:p>
    <w:p>
      <w:pPr>
        <w:pStyle w:val="3"/>
        <w:spacing w:line="398" w:lineRule="exact"/>
        <w:ind w:left="809"/>
        <w:rPr>
          <w:rFonts w:hint="eastAsia" w:ascii="楷体_GB2312" w:hAnsi="楷体_GB2312" w:eastAsia="楷体_GB2312"/>
        </w:rPr>
      </w:pPr>
      <w:r>
        <w:rPr>
          <w:rFonts w:hint="eastAsia" w:ascii="楷体_GB2312" w:hAnsi="楷体_GB2312" w:eastAsia="楷体_GB2312"/>
        </w:rPr>
        <w:t>(二)居住小区“十大环境问题”整治行动</w:t>
      </w:r>
    </w:p>
    <w:p>
      <w:pPr>
        <w:pStyle w:val="3"/>
        <w:spacing w:before="130" w:line="316" w:lineRule="auto"/>
        <w:ind w:left="166" w:right="1452" w:firstLine="643"/>
        <w:jc w:val="both"/>
      </w:pPr>
      <w:r>
        <w:rPr>
          <w:b/>
          <w:spacing w:val="-8"/>
          <w:w w:val="95"/>
        </w:rPr>
        <w:t>一是居民生活垃圾分类行为不规范整治行动。</w:t>
      </w:r>
      <w:r>
        <w:rPr>
          <w:w w:val="95"/>
        </w:rPr>
        <w:t xml:space="preserve">相关部门持续 </w:t>
      </w:r>
      <w:r>
        <w:rPr>
          <w:spacing w:val="-9"/>
        </w:rPr>
        <w:t>开展宣传动员工作，利用精准入户宣传、“普法监督员”队伍建</w:t>
      </w:r>
      <w:r>
        <w:rPr>
          <w:spacing w:val="-16"/>
        </w:rPr>
        <w:t>设等工作对其反复宣传动员。摸清各小区居民生活垃圾自主分类</w:t>
      </w:r>
      <w:r>
        <w:rPr>
          <w:spacing w:val="-14"/>
        </w:rPr>
        <w:t>情况，建立居民自主分类投放准确率台账，掌握各小区居民自主</w:t>
      </w:r>
      <w:r>
        <w:rPr>
          <w:spacing w:val="-16"/>
        </w:rPr>
        <w:t>分类投放准确率。扎实推进“城管执法进社区”，对乱扔乱倒生</w:t>
      </w:r>
      <w:r>
        <w:rPr>
          <w:spacing w:val="-20"/>
        </w:rPr>
        <w:t>活垃圾个人违法行为进行现场教育、警告、处罚。坚持宣传教育</w:t>
      </w:r>
      <w:r>
        <w:rPr>
          <w:spacing w:val="-18"/>
        </w:rPr>
        <w:t>与执法处罚相结合，执法部门根据个人违法视频上门警告，对多次乱扔乱倒生活垃圾，屡教不改、态度恶劣的人员依法进行行政处罚。</w:t>
      </w:r>
    </w:p>
    <w:p>
      <w:pPr>
        <w:spacing w:before="0" w:line="399" w:lineRule="exact"/>
        <w:ind w:left="0" w:right="1454" w:firstLine="0"/>
        <w:jc w:val="right"/>
        <w:rPr>
          <w:sz w:val="32"/>
        </w:rPr>
      </w:pPr>
      <w:r>
        <w:rPr>
          <w:b/>
          <w:spacing w:val="-8"/>
          <w:w w:val="95"/>
          <w:sz w:val="32"/>
        </w:rPr>
        <w:t>二是小区卫生死角和楼道堆积废弃物整治行动。</w:t>
      </w:r>
      <w:r>
        <w:rPr>
          <w:w w:val="95"/>
          <w:sz w:val="32"/>
        </w:rPr>
        <w:t>社区居委会</w:t>
      </w:r>
    </w:p>
    <w:p>
      <w:pPr>
        <w:pStyle w:val="3"/>
        <w:spacing w:before="130"/>
        <w:ind w:right="1458"/>
        <w:jc w:val="right"/>
      </w:pPr>
      <w:r>
        <w:rPr>
          <w:spacing w:val="-10"/>
        </w:rPr>
        <w:t>、物业服务企业强化保洁力量，结合疫情防控、“创卫”、爱国</w:t>
      </w:r>
    </w:p>
    <w:p>
      <w:pPr>
        <w:spacing w:after="0"/>
        <w:jc w:val="right"/>
        <w:sectPr>
          <w:pgSz w:w="11910" w:h="16840"/>
          <w:pgMar w:top="1580" w:right="0" w:bottom="1880" w:left="1420" w:header="0" w:footer="1689" w:gutter="0"/>
        </w:sectPr>
      </w:pPr>
    </w:p>
    <w:p>
      <w:pPr>
        <w:pStyle w:val="3"/>
        <w:rPr>
          <w:sz w:val="20"/>
        </w:rPr>
      </w:pPr>
      <w:r>
        <w:pict>
          <v:shape id="_x0000_s1034" o:spid="_x0000_s1034" o:spt="136" type="#_x0000_t136" style="position:absolute;left:0pt;margin-left:14.1pt;margin-top:401.4pt;height:48pt;width:576pt;mso-position-horizontal-relative:page;mso-position-vertical-relative:page;rotation:20643840f;z-index:-253143040;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line="316" w:lineRule="auto"/>
        <w:ind w:left="166" w:right="1344"/>
      </w:pPr>
      <w:r>
        <w:t>卫生环境大扫除等工作，持续开展除“四害”、灭蚊蝇等工作。</w:t>
      </w:r>
      <w:r>
        <w:rPr>
          <w:spacing w:val="-10"/>
        </w:rPr>
        <w:t>每日对小区楼门把手、楼梯扶手、电梯、生活垃圾收集容器等进</w:t>
      </w:r>
      <w:r>
        <w:rPr>
          <w:spacing w:val="-14"/>
        </w:rPr>
        <w:t>行消杀，有效阻断病毒传播途径。定期清除小区卫生死角，持续</w:t>
      </w:r>
      <w:r>
        <w:rPr>
          <w:spacing w:val="-15"/>
        </w:rPr>
        <w:t>营造干净、整洁的宜居环境。张贴清理楼道杂物通知，每月定期</w:t>
      </w:r>
      <w:r>
        <w:rPr>
          <w:spacing w:val="-13"/>
        </w:rPr>
        <w:t>清理、反复清理，确保楼内干净整洁，居民进出安全。利用好小</w:t>
      </w:r>
      <w:r>
        <w:rPr>
          <w:spacing w:val="-18"/>
        </w:rPr>
        <w:t>区内生活垃圾暂存点位和回收网点，及时将清理出的杂物进行分</w:t>
      </w:r>
      <w:r>
        <w:rPr>
          <w:spacing w:val="-15"/>
        </w:rPr>
        <w:t>类处理。将清理楼道杂物与消防安全工作有机结合，加大非法占用楼内公共区域及消防通道的处罚力度。</w:t>
      </w:r>
    </w:p>
    <w:p>
      <w:pPr>
        <w:pStyle w:val="3"/>
        <w:spacing w:line="316" w:lineRule="auto"/>
        <w:ind w:left="166" w:right="1296" w:firstLine="643"/>
      </w:pPr>
      <w:r>
        <w:rPr>
          <w:b/>
        </w:rPr>
        <w:t>三是生活垃圾乱堆乱放整治行动。</w:t>
      </w:r>
      <w:r>
        <w:t xml:space="preserve">相关部门加强宣传引导， </w:t>
      </w:r>
      <w:r>
        <w:rPr>
          <w:spacing w:val="-11"/>
        </w:rPr>
        <w:t>社区居委会、物业服务企业进一步强化入户宣传，引导居民自主</w:t>
      </w:r>
      <w:r>
        <w:rPr>
          <w:spacing w:val="-14"/>
        </w:rPr>
        <w:t>将大件垃圾、装修垃圾投放至相应点位。加强大件垃圾、装修垃</w:t>
      </w:r>
      <w:r>
        <w:rPr>
          <w:spacing w:val="-17"/>
        </w:rPr>
        <w:t>圾投放点日常维护，适当延长投放点开放时间，减少前端垃圾滞</w:t>
      </w:r>
      <w:r>
        <w:rPr>
          <w:spacing w:val="-18"/>
        </w:rPr>
        <w:t>留和随意丢弃等现象。结合“人防+技防”手段，加强巡查管控， 发现堆物堆料现象，及时清理。规范清运流程，要求管理责任人与有资质的清运企业签订合同，明确消纳去向。</w:t>
      </w:r>
    </w:p>
    <w:p>
      <w:pPr>
        <w:pStyle w:val="3"/>
        <w:spacing w:line="316" w:lineRule="auto"/>
        <w:ind w:left="166" w:right="1458" w:firstLine="643"/>
        <w:jc w:val="both"/>
      </w:pPr>
      <w:r>
        <w:rPr>
          <w:b/>
          <w:spacing w:val="-11"/>
          <w:w w:val="95"/>
        </w:rPr>
        <w:t>四是非法张贴、喷涂、散发小广告整治行动。</w:t>
      </w:r>
      <w:r>
        <w:rPr>
          <w:w w:val="95"/>
        </w:rPr>
        <w:t xml:space="preserve">各社区加大对 </w:t>
      </w:r>
      <w:r>
        <w:rPr>
          <w:spacing w:val="-12"/>
        </w:rPr>
        <w:t>居民的宣传力度，激发社区共治力量，居民及时对非法小广告张</w:t>
      </w:r>
      <w:r>
        <w:rPr>
          <w:spacing w:val="-14"/>
        </w:rPr>
        <w:t>贴、喷涂、散发人员进行举报，并由执法部门对该行为人教育处</w:t>
      </w:r>
      <w:r>
        <w:rPr>
          <w:spacing w:val="-13"/>
        </w:rPr>
        <w:t>罚。各社区居委会、物业服务企业每周组织动员居民清理自家楼</w:t>
      </w:r>
      <w:r>
        <w:rPr>
          <w:spacing w:val="-2"/>
        </w:rPr>
        <w:t>门，保证墙面无粘贴物，地面无杂物。加大巡查力度,主动发现</w:t>
      </w:r>
      <w:r>
        <w:rPr>
          <w:spacing w:val="-12"/>
        </w:rPr>
        <w:t>问题，制止、劝阻非法张贴、喷涂、散发小广告的行为，并要求该行为人进行清除或管理责任人主动清除。</w:t>
      </w:r>
    </w:p>
    <w:p>
      <w:pPr>
        <w:spacing w:after="0" w:line="316" w:lineRule="auto"/>
        <w:jc w:val="both"/>
        <w:sectPr>
          <w:pgSz w:w="11910" w:h="16840"/>
          <w:pgMar w:top="1580" w:right="0" w:bottom="1880" w:left="1420" w:header="0" w:footer="1689" w:gutter="0"/>
        </w:sectPr>
      </w:pPr>
    </w:p>
    <w:p>
      <w:pPr>
        <w:pStyle w:val="3"/>
        <w:rPr>
          <w:sz w:val="20"/>
        </w:rPr>
      </w:pPr>
      <w:r>
        <w:pict>
          <v:shape id="_x0000_s1035" o:spid="_x0000_s1035" o:spt="136" type="#_x0000_t136" style="position:absolute;left:0pt;margin-left:14.1pt;margin-top:401.4pt;height:48pt;width:576pt;mso-position-horizontal-relative:page;mso-position-vertical-relative:page;rotation:20643840f;z-index:-253142016;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line="316" w:lineRule="auto"/>
        <w:ind w:left="166" w:right="1343" w:firstLine="643"/>
        <w:jc w:val="both"/>
      </w:pPr>
      <w:r>
        <w:rPr>
          <w:b/>
          <w:spacing w:val="-7"/>
        </w:rPr>
        <w:t>五是文明养犬整治行动。</w:t>
      </w:r>
      <w:r>
        <w:rPr>
          <w:spacing w:val="-7"/>
        </w:rPr>
        <w:t>相关部门加强细节管理，物业服务</w:t>
      </w:r>
      <w:r>
        <w:rPr>
          <w:spacing w:val="-13"/>
        </w:rPr>
        <w:t>企业主动担当，设置动物粪便收集装置，提供收集纸张，为遛犬</w:t>
      </w:r>
      <w:r>
        <w:rPr>
          <w:spacing w:val="-17"/>
        </w:rPr>
        <w:t>居民处理犬类粪便创造便利。社区居委会定期组织文明养犬宣传</w:t>
      </w:r>
      <w:r>
        <w:rPr>
          <w:spacing w:val="-14"/>
        </w:rPr>
        <w:t>活动，引导居民规范养犬，遛犬时为犬类佩戴嘴套和犬绳，犬类排便后要及时清理，进一步解决居民反映强烈的养犬突出问题。</w:t>
      </w:r>
    </w:p>
    <w:p>
      <w:pPr>
        <w:pStyle w:val="3"/>
        <w:spacing w:line="316" w:lineRule="auto"/>
        <w:ind w:left="166" w:right="1454" w:firstLine="643"/>
        <w:jc w:val="both"/>
      </w:pPr>
      <w:r>
        <w:rPr>
          <w:b/>
          <w:spacing w:val="-13"/>
        </w:rPr>
        <w:t>六是小区“僵尸车”整治行动。</w:t>
      </w:r>
      <w:r>
        <w:t>相关部门对长期占用小区停</w:t>
      </w:r>
      <w:r>
        <w:rPr>
          <w:spacing w:val="-12"/>
        </w:rPr>
        <w:t>车资源，影响市容环境的“僵尸车”进行集中整治；对小区内乱</w:t>
      </w:r>
      <w:r>
        <w:rPr>
          <w:spacing w:val="-13"/>
        </w:rPr>
        <w:t>停放、长期无人使用的废旧自行车以及车棚“存车存物”等现象</w:t>
      </w:r>
      <w:r>
        <w:rPr>
          <w:spacing w:val="-15"/>
        </w:rPr>
        <w:t>进行集中清理。社区居委会、物业服务企业结合再生资源回收工</w:t>
      </w:r>
      <w:r>
        <w:rPr>
          <w:spacing w:val="-12"/>
        </w:rPr>
        <w:t>作，组织旧物置换、以旧换新等活动，充分调动居民回收、置换意愿，主动清理。</w:t>
      </w:r>
    </w:p>
    <w:p>
      <w:pPr>
        <w:pStyle w:val="3"/>
        <w:spacing w:line="316" w:lineRule="auto"/>
        <w:ind w:left="166" w:right="1296" w:firstLine="643"/>
      </w:pPr>
      <w:r>
        <w:rPr>
          <w:b/>
          <w:spacing w:val="-5"/>
        </w:rPr>
        <w:t>七是电动自行车消防安全整治行动。</w:t>
      </w:r>
      <w:r>
        <w:rPr>
          <w:spacing w:val="-9"/>
        </w:rPr>
        <w:t>社区居委会、物业服务</w:t>
      </w:r>
      <w:r>
        <w:rPr>
          <w:spacing w:val="-16"/>
        </w:rPr>
        <w:t>企业加强电瓶车违规充电安全隐患排查，对小区内的电瓶车乱停</w:t>
      </w:r>
      <w:r>
        <w:rPr>
          <w:spacing w:val="-13"/>
        </w:rPr>
        <w:t>放、飞线充电问题进行长效管理。物业服务企业加强宣传，提高</w:t>
      </w:r>
      <w:r>
        <w:rPr>
          <w:spacing w:val="-20"/>
        </w:rPr>
        <w:t xml:space="preserve">居民安全意识，引导居民有序停车。充分发挥基层党组织的力量， </w:t>
      </w:r>
      <w:r>
        <w:rPr>
          <w:spacing w:val="-21"/>
        </w:rPr>
        <w:t>对小区非机动车停车设施进行改造，采用疏堵结合的方式确保电动自行车停放、充电安全。</w:t>
      </w:r>
    </w:p>
    <w:p>
      <w:pPr>
        <w:pStyle w:val="3"/>
        <w:spacing w:line="316" w:lineRule="auto"/>
        <w:ind w:left="166" w:right="1454" w:firstLine="643"/>
        <w:jc w:val="both"/>
      </w:pPr>
      <w:r>
        <w:rPr>
          <w:b/>
          <w:spacing w:val="-10"/>
        </w:rPr>
        <w:t>八是车辆占用消防通道整治行动。</w:t>
      </w:r>
      <w:r>
        <w:t>相关部门对小区车辆停放</w:t>
      </w:r>
      <w:r>
        <w:rPr>
          <w:spacing w:val="-9"/>
        </w:rPr>
        <w:t>管理工作开展专项检查，对长期违法占用、堵塞消防车通道，接</w:t>
      </w:r>
      <w:r>
        <w:rPr>
          <w:spacing w:val="-15"/>
        </w:rPr>
        <w:t>到整改通知却拒不纠正的单位和个人，坚决依法进行处理。对影</w:t>
      </w:r>
      <w:r>
        <w:rPr>
          <w:spacing w:val="-17"/>
        </w:rPr>
        <w:t>响灭火救援行动、造成严重后果的，依法从重处理，确保消防通</w:t>
      </w:r>
      <w:r>
        <w:rPr>
          <w:spacing w:val="-14"/>
        </w:rPr>
        <w:t>道畅通；社区居委会、物业服务企业落实管理责任，加强日常巡</w:t>
      </w:r>
    </w:p>
    <w:p>
      <w:pPr>
        <w:spacing w:after="0" w:line="316" w:lineRule="auto"/>
        <w:jc w:val="both"/>
        <w:sectPr>
          <w:pgSz w:w="11910" w:h="16840"/>
          <w:pgMar w:top="1580" w:right="0" w:bottom="1880" w:left="1420" w:header="0" w:footer="1689" w:gutter="0"/>
        </w:sectPr>
      </w:pPr>
    </w:p>
    <w:p>
      <w:pPr>
        <w:pStyle w:val="3"/>
        <w:rPr>
          <w:sz w:val="20"/>
        </w:rPr>
      </w:pPr>
      <w:r>
        <w:pict>
          <v:shape id="_x0000_s1036" o:spid="_x0000_s1036" o:spt="136" type="#_x0000_t136" style="position:absolute;left:0pt;margin-left:14.1pt;margin-top:401.4pt;height:48pt;width:576pt;mso-position-horizontal-relative:page;mso-position-vertical-relative:page;rotation:20643840f;z-index:-253140992;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line="316" w:lineRule="auto"/>
        <w:ind w:left="166" w:right="1458"/>
      </w:pPr>
      <w:r>
        <w:rPr>
          <w:spacing w:val="-11"/>
        </w:rPr>
        <w:t>查，发现不规范停车、占用或堵塞消防通道行为，及时劝阻，并报相关部门处置。</w:t>
      </w:r>
    </w:p>
    <w:p>
      <w:pPr>
        <w:pStyle w:val="3"/>
        <w:spacing w:line="316" w:lineRule="auto"/>
        <w:ind w:left="166" w:right="1454" w:firstLine="643"/>
        <w:jc w:val="both"/>
      </w:pPr>
      <w:r>
        <w:rPr>
          <w:b/>
          <w:spacing w:val="-12"/>
        </w:rPr>
        <w:t>九是拆除违法建筑整治行动。</w:t>
      </w:r>
      <w:r>
        <w:t>相关部门及各社区针对私搭乱</w:t>
      </w:r>
      <w:r>
        <w:rPr>
          <w:spacing w:val="-12"/>
        </w:rPr>
        <w:t>建、开墙打洞、未经许可设置的非法牌匾广告以及挪作他用的公</w:t>
      </w:r>
      <w:r>
        <w:rPr>
          <w:spacing w:val="-15"/>
        </w:rPr>
        <w:t>共设施等问题，适时开展执法拆除工作。针对绿地圈占、私搭绳</w:t>
      </w:r>
      <w:r>
        <w:rPr>
          <w:spacing w:val="-12"/>
        </w:rPr>
        <w:t>索、乱搭架空线、私设地锁等不文明行为，居委会、物业公司要</w:t>
      </w:r>
      <w:r>
        <w:rPr>
          <w:spacing w:val="-15"/>
        </w:rPr>
        <w:t>做好宣传引导，劝导责任主体主动拆除，劝导无效的由相关部门组织拆除，并由执法部门进行处罚。</w:t>
      </w:r>
    </w:p>
    <w:p>
      <w:pPr>
        <w:pStyle w:val="3"/>
        <w:spacing w:line="316" w:lineRule="auto"/>
        <w:ind w:left="166" w:right="1454" w:firstLine="643"/>
        <w:jc w:val="both"/>
      </w:pPr>
      <w:r>
        <w:rPr>
          <w:b/>
          <w:spacing w:val="-11"/>
        </w:rPr>
        <w:t>十是季节性环境治理整治行动。</w:t>
      </w:r>
      <w:r>
        <w:t>各社区要制定季节性环境整</w:t>
      </w:r>
      <w:r>
        <w:rPr>
          <w:spacing w:val="-11"/>
        </w:rPr>
        <w:t>治工作方案。春季要及时对裸露地面进行补种绿植花草。夏季要</w:t>
      </w:r>
      <w:r>
        <w:rPr>
          <w:spacing w:val="-2"/>
        </w:rPr>
        <w:t>结合汛期防汛,及时清理路面积水及倒伏树木。秋季要针对干枯</w:t>
      </w:r>
      <w:r>
        <w:rPr>
          <w:spacing w:val="-11"/>
        </w:rPr>
        <w:t>树叶随落随清,保持道路干净整洁。冬季要做好扫雪铲冰,保证行</w:t>
      </w:r>
      <w:r>
        <w:rPr>
          <w:spacing w:val="-2"/>
        </w:rPr>
        <w:t>人和车辆进出安全。结合老旧小区环境整治提升工作,做好因天</w:t>
      </w:r>
      <w:r>
        <w:rPr>
          <w:spacing w:val="-12"/>
        </w:rPr>
        <w:t>气变化、年久失修等因素造成的外立面破损、道路破损等问题的修复和养护工作。</w:t>
      </w:r>
    </w:p>
    <w:p>
      <w:pPr>
        <w:pStyle w:val="3"/>
        <w:spacing w:line="402" w:lineRule="exact"/>
        <w:ind w:left="809"/>
        <w:rPr>
          <w:rFonts w:hint="eastAsia" w:ascii="黑体" w:eastAsia="黑体"/>
        </w:rPr>
      </w:pPr>
      <w:r>
        <w:rPr>
          <w:rFonts w:hint="eastAsia" w:ascii="黑体" w:eastAsia="黑体"/>
        </w:rPr>
        <w:t>五、职责分工</w:t>
      </w:r>
    </w:p>
    <w:p>
      <w:pPr>
        <w:pStyle w:val="3"/>
        <w:spacing w:before="121" w:line="316" w:lineRule="auto"/>
        <w:ind w:left="166" w:right="1459" w:firstLine="643"/>
      </w:pPr>
      <w:r>
        <w:rPr>
          <w:b/>
          <w:spacing w:val="-8"/>
        </w:rPr>
        <w:t>纪委监察办：</w:t>
      </w:r>
      <w:r>
        <w:rPr>
          <w:spacing w:val="-8"/>
        </w:rPr>
        <w:t>对此项工作中不作为、乱作为、推诿扯皮懒政怠政等工作人员严肃问责。</w:t>
      </w:r>
    </w:p>
    <w:p>
      <w:pPr>
        <w:pStyle w:val="3"/>
        <w:spacing w:line="316" w:lineRule="auto"/>
        <w:ind w:left="166" w:right="1454" w:firstLine="643"/>
        <w:jc w:val="both"/>
      </w:pPr>
      <w:r>
        <w:rPr>
          <w:b/>
          <w:spacing w:val="-4"/>
          <w:w w:val="95"/>
        </w:rPr>
        <w:t>党群工作办公室</w:t>
      </w:r>
      <w:r>
        <w:rPr>
          <w:b/>
          <w:w w:val="95"/>
        </w:rPr>
        <w:t>（</w:t>
      </w:r>
      <w:r>
        <w:rPr>
          <w:b/>
          <w:spacing w:val="2"/>
          <w:w w:val="95"/>
        </w:rPr>
        <w:t>宣传</w:t>
      </w:r>
      <w:r>
        <w:rPr>
          <w:b/>
          <w:spacing w:val="-34"/>
          <w:w w:val="95"/>
        </w:rPr>
        <w:t>）：</w:t>
      </w:r>
      <w:r>
        <w:rPr>
          <w:spacing w:val="-4"/>
          <w:w w:val="95"/>
        </w:rPr>
        <w:t xml:space="preserve">充分利用各类媒体，开设专栏专 </w:t>
      </w:r>
      <w:r>
        <w:rPr>
          <w:spacing w:val="-12"/>
        </w:rPr>
        <w:t>版对整治行动开展系列宣传报道，营造良好的舆论氛围、宣传正面典型，强化示范引领。</w:t>
      </w:r>
    </w:p>
    <w:p>
      <w:pPr>
        <w:pStyle w:val="3"/>
        <w:spacing w:line="316" w:lineRule="auto"/>
        <w:ind w:left="166" w:right="1458" w:firstLine="643"/>
      </w:pPr>
      <w:r>
        <w:rPr>
          <w:b/>
        </w:rPr>
        <w:t>创城办:</w:t>
      </w:r>
      <w:r>
        <w:t>按创城工作要求，对各社区做好指导检查工作。将居民居住环境整治工作开展情况纳入全国文明城区创建检查。</w:t>
      </w:r>
    </w:p>
    <w:p>
      <w:pPr>
        <w:spacing w:after="0" w:line="316" w:lineRule="auto"/>
        <w:sectPr>
          <w:pgSz w:w="11910" w:h="16840"/>
          <w:pgMar w:top="1580" w:right="0" w:bottom="1880" w:left="1420" w:header="0" w:footer="1689" w:gutter="0"/>
        </w:sectPr>
      </w:pPr>
    </w:p>
    <w:p>
      <w:pPr>
        <w:pStyle w:val="3"/>
        <w:rPr>
          <w:sz w:val="20"/>
        </w:rPr>
      </w:pPr>
      <w:r>
        <w:pict>
          <v:shape id="_x0000_s1037" o:spid="_x0000_s1037" o:spt="136" type="#_x0000_t136" style="position:absolute;left:0pt;margin-left:14.1pt;margin-top:401.4pt;height:48pt;width:576pt;mso-position-horizontal-relative:page;mso-position-vertical-relative:page;rotation:20643840f;z-index:-253139968;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line="316" w:lineRule="auto"/>
        <w:ind w:left="166" w:right="1296" w:firstLine="643"/>
      </w:pPr>
      <w:r>
        <w:rPr>
          <w:b/>
        </w:rPr>
        <w:t>综合行政执法队：</w:t>
      </w:r>
      <w:r>
        <w:t xml:space="preserve">对“门前三包”工作情况进行督导检查， </w:t>
      </w:r>
      <w:r>
        <w:rPr>
          <w:spacing w:val="-8"/>
        </w:rPr>
        <w:t>对部门职责范围内的破坏小区环境，随意丢弃大件垃圾、装修垃</w:t>
      </w:r>
      <w:r>
        <w:rPr>
          <w:spacing w:val="6"/>
        </w:rPr>
        <w:t>圾，生活垃圾分类不规范行为等违法行为人依法进行教育和处罚，对擅自张贴、喷涂、散发、悬挂宣传品或者擅自组织张贴、</w:t>
      </w:r>
      <w:r>
        <w:rPr>
          <w:spacing w:val="-11"/>
        </w:rPr>
        <w:t>喷涂、散发、悬挂宣传品的单位和个人依法从重处罚，并责令违</w:t>
      </w:r>
      <w:r>
        <w:rPr>
          <w:spacing w:val="-17"/>
        </w:rPr>
        <w:t>法行为人和违法单位及时清除非法张贴、喷涂的小广告。配合社区居委会对非法占用小区公共用地及违规圈占绿地行为的企业、</w:t>
      </w:r>
      <w:r>
        <w:rPr>
          <w:spacing w:val="-20"/>
        </w:rPr>
        <w:t>个人进行警告及违法建设的拆除。对破坏社区环境等违法个人行</w:t>
      </w:r>
      <w:r>
        <w:rPr>
          <w:spacing w:val="-23"/>
        </w:rPr>
        <w:t>为依法进行教育和处罚，对占道经营、不落实“门前三包”职责、组织利用非法小广告进行宣传的企业依法从重处罚。</w:t>
      </w:r>
    </w:p>
    <w:p>
      <w:pPr>
        <w:pStyle w:val="3"/>
        <w:spacing w:line="316" w:lineRule="auto"/>
        <w:ind w:left="166" w:right="1343" w:firstLine="643"/>
      </w:pPr>
      <w:r>
        <w:rPr>
          <w:b/>
          <w:spacing w:val="2"/>
        </w:rPr>
        <w:t>市场监管所：</w:t>
      </w:r>
      <w:r>
        <w:t xml:space="preserve">负责对商户的经营合法性进行检查,重点对“ 七小门店”的经营合法性进行监管，发现存在无照经营行为的， </w:t>
      </w:r>
      <w:r>
        <w:rPr>
          <w:spacing w:val="-10"/>
        </w:rPr>
        <w:t>依本部门职责进行关停查处；负责对经营食品药品的商户进行检</w:t>
      </w:r>
      <w:r>
        <w:rPr>
          <w:spacing w:val="-13"/>
        </w:rPr>
        <w:t>查，重点检查商户的经营资质和食品药品的安全性是否符合相关要求。</w:t>
      </w:r>
    </w:p>
    <w:p>
      <w:pPr>
        <w:pStyle w:val="3"/>
        <w:spacing w:line="316" w:lineRule="auto"/>
        <w:ind w:left="166" w:right="1458" w:firstLine="643"/>
        <w:jc w:val="both"/>
      </w:pPr>
      <w:r>
        <w:rPr>
          <w:b/>
          <w:spacing w:val="-5"/>
        </w:rPr>
        <w:t>民生保障办公室</w:t>
      </w:r>
      <w:r>
        <w:rPr>
          <w:b/>
        </w:rPr>
        <w:t>（卫生健康</w:t>
      </w:r>
      <w:r>
        <w:rPr>
          <w:b/>
          <w:spacing w:val="-34"/>
        </w:rPr>
        <w:t>）：</w:t>
      </w:r>
      <w:r>
        <w:rPr>
          <w:spacing w:val="-5"/>
        </w:rPr>
        <w:t>按相关工作要求，对各社区</w:t>
      </w:r>
      <w:r>
        <w:rPr>
          <w:spacing w:val="-14"/>
        </w:rPr>
        <w:t>做好指导检查工作。将居民居住环境整治工作开展情况纳入国家卫生区及国家卫生镇创建检查，广泛发动全民参与共治。</w:t>
      </w:r>
    </w:p>
    <w:p>
      <w:pPr>
        <w:pStyle w:val="3"/>
        <w:spacing w:line="316" w:lineRule="auto"/>
        <w:ind w:left="166" w:right="1458" w:firstLine="643"/>
        <w:jc w:val="both"/>
      </w:pPr>
      <w:r>
        <w:rPr>
          <w:b/>
          <w:spacing w:val="-5"/>
        </w:rPr>
        <w:t>城乡建设办公室</w:t>
      </w:r>
      <w:r>
        <w:rPr>
          <w:b/>
        </w:rPr>
        <w:t>（环整</w:t>
      </w:r>
      <w:r>
        <w:rPr>
          <w:b/>
          <w:spacing w:val="-33"/>
        </w:rPr>
        <w:t>）：</w:t>
      </w:r>
      <w:r>
        <w:rPr>
          <w:spacing w:val="-3"/>
        </w:rPr>
        <w:t>负责镇域内道路垃圾清理，提升</w:t>
      </w:r>
      <w:r>
        <w:rPr>
          <w:spacing w:val="-25"/>
        </w:rPr>
        <w:t>道路两边环境卫生，做好季节性环境整治，负责企业、商铺等“门</w:t>
      </w:r>
      <w:r>
        <w:rPr>
          <w:spacing w:val="-15"/>
        </w:rPr>
        <w:t>前三包”责任书的签订工作。做好垃圾分类第三方公司的监督检查工作。</w:t>
      </w:r>
    </w:p>
    <w:p>
      <w:pPr>
        <w:spacing w:before="0" w:line="405" w:lineRule="exact"/>
        <w:ind w:left="809" w:right="0" w:firstLine="0"/>
        <w:jc w:val="left"/>
        <w:rPr>
          <w:sz w:val="32"/>
        </w:rPr>
      </w:pPr>
      <w:r>
        <w:rPr>
          <w:b/>
          <w:sz w:val="32"/>
        </w:rPr>
        <w:t>平安建设办公室（安全）：</w:t>
      </w:r>
      <w:r>
        <w:rPr>
          <w:sz w:val="32"/>
        </w:rPr>
        <w:t>督促物业服务企业落实消防安全</w:t>
      </w:r>
    </w:p>
    <w:p>
      <w:pPr>
        <w:spacing w:after="0" w:line="405" w:lineRule="exact"/>
        <w:jc w:val="left"/>
        <w:rPr>
          <w:sz w:val="32"/>
        </w:rPr>
        <w:sectPr>
          <w:pgSz w:w="11910" w:h="16840"/>
          <w:pgMar w:top="1580" w:right="0" w:bottom="1880" w:left="1420" w:header="0" w:footer="1689" w:gutter="0"/>
        </w:sectPr>
      </w:pPr>
    </w:p>
    <w:p>
      <w:pPr>
        <w:pStyle w:val="3"/>
        <w:rPr>
          <w:sz w:val="20"/>
        </w:rPr>
      </w:pPr>
      <w:r>
        <w:pict>
          <v:shape id="_x0000_s1038" o:spid="_x0000_s1038" o:spt="136" type="#_x0000_t136" style="position:absolute;left:0pt;margin-left:14.1pt;margin-top:401.4pt;height:48pt;width:576pt;mso-position-horizontal-relative:page;mso-position-vertical-relative:page;rotation:20643840f;z-index:-25313894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line="316" w:lineRule="auto"/>
        <w:ind w:left="166" w:right="1473"/>
      </w:pPr>
      <w:r>
        <w:rPr>
          <w:spacing w:val="-11"/>
        </w:rPr>
        <w:t>主体责任，配合相关部门开展消防通道检查。加强社会层面消防宣传教育，普及消防安全知识。</w:t>
      </w:r>
    </w:p>
    <w:p>
      <w:pPr>
        <w:pStyle w:val="3"/>
        <w:spacing w:line="316" w:lineRule="auto"/>
        <w:ind w:left="166" w:right="1457" w:firstLine="643"/>
        <w:jc w:val="both"/>
      </w:pPr>
      <w:r>
        <w:rPr>
          <w:b/>
          <w:spacing w:val="-5"/>
        </w:rPr>
        <w:t>平安建设办公室</w:t>
      </w:r>
      <w:r>
        <w:rPr>
          <w:b/>
        </w:rPr>
        <w:t>（综治</w:t>
      </w:r>
      <w:r>
        <w:rPr>
          <w:b/>
          <w:spacing w:val="-33"/>
        </w:rPr>
        <w:t>）：</w:t>
      </w:r>
      <w:r>
        <w:rPr>
          <w:spacing w:val="-6"/>
        </w:rPr>
        <w:t>做好机动车、僵尸车乱停乱放治</w:t>
      </w:r>
      <w:r>
        <w:rPr>
          <w:spacing w:val="-13"/>
        </w:rPr>
        <w:t>理，对拆违过程中遇到的各类治安问题协调相关执法部门进行处理。做好联合执法的配合保障工作。</w:t>
      </w:r>
    </w:p>
    <w:p>
      <w:pPr>
        <w:pStyle w:val="3"/>
        <w:spacing w:line="316" w:lineRule="auto"/>
        <w:ind w:left="166" w:right="1344" w:firstLine="643"/>
        <w:jc w:val="both"/>
      </w:pPr>
      <w:r>
        <w:rPr>
          <w:b/>
          <w:spacing w:val="-33"/>
        </w:rPr>
        <w:t>派出所：</w:t>
      </w:r>
      <w:r>
        <w:t>依法严厉打击涉嫌利用非法小广告在小区内进行涉</w:t>
      </w:r>
      <w:r>
        <w:rPr>
          <w:spacing w:val="-11"/>
        </w:rPr>
        <w:t>赌、涉黄、涉毒、私刻公章、伪造票证、非法行医、收售药品等</w:t>
      </w:r>
      <w:r>
        <w:rPr>
          <w:spacing w:val="-15"/>
        </w:rPr>
        <w:t>违法犯罪行为。向电信管理部门移送非法小广告通信号码。对居</w:t>
      </w:r>
      <w:r>
        <w:rPr>
          <w:spacing w:val="-22"/>
        </w:rPr>
        <w:t xml:space="preserve">民举报的非法张贴、喷涂、散发小广告涉嫌扰乱治安的违法行为, </w:t>
      </w:r>
      <w:r>
        <w:rPr>
          <w:spacing w:val="-20"/>
        </w:rPr>
        <w:t>派出所应及时出警核实，依法处罚；做好联合执法的配合保障工</w:t>
      </w:r>
      <w:r>
        <w:rPr>
          <w:spacing w:val="-13"/>
        </w:rPr>
        <w:t>作，对阻碍行政执法人员依法履行公务的行为进行处理。加大文明养犬宣传力度，引导居民自觉到属地派出所办理养犬登记证。</w:t>
      </w:r>
    </w:p>
    <w:p>
      <w:pPr>
        <w:pStyle w:val="3"/>
        <w:spacing w:line="316" w:lineRule="auto"/>
        <w:ind w:left="166" w:right="1457" w:firstLine="643"/>
        <w:jc w:val="both"/>
      </w:pPr>
      <w:r>
        <w:rPr>
          <w:b/>
          <w:spacing w:val="-6"/>
        </w:rPr>
        <w:t>产业发展服务中心</w:t>
      </w:r>
      <w:r>
        <w:rPr>
          <w:b/>
        </w:rPr>
        <w:t>（林业</w:t>
      </w:r>
      <w:r>
        <w:rPr>
          <w:b/>
          <w:spacing w:val="-45"/>
        </w:rPr>
        <w:t>）：</w:t>
      </w:r>
      <w:r>
        <w:t>负责对本部门责任范围内绿化</w:t>
      </w:r>
      <w:r>
        <w:rPr>
          <w:spacing w:val="-12"/>
        </w:rPr>
        <w:t>情况进行管理、监督工作及协调相关部门对已移交地区范围内绿化情况进行检查，并结合职责进行整治。</w:t>
      </w:r>
    </w:p>
    <w:p>
      <w:pPr>
        <w:pStyle w:val="3"/>
        <w:spacing w:line="316" w:lineRule="auto"/>
        <w:ind w:left="166" w:right="1457" w:firstLine="643"/>
        <w:jc w:val="both"/>
      </w:pPr>
      <w:r>
        <w:rPr>
          <w:b/>
          <w:spacing w:val="2"/>
        </w:rPr>
        <w:t>镇城指中心：</w:t>
      </w:r>
      <w:r>
        <w:t>针对整治行动开展后可能出现的12345市民热</w:t>
      </w:r>
      <w:r>
        <w:rPr>
          <w:spacing w:val="-12"/>
        </w:rPr>
        <w:t>线投诉量激增问题，做好案件分转工作，保障整治行动长期稳定开展。</w:t>
      </w:r>
    </w:p>
    <w:p>
      <w:pPr>
        <w:pStyle w:val="3"/>
        <w:spacing w:line="316" w:lineRule="auto"/>
        <w:ind w:left="166" w:right="1298" w:firstLine="643"/>
      </w:pPr>
      <w:r>
        <w:rPr>
          <w:b/>
          <w:spacing w:val="-4"/>
        </w:rPr>
        <w:t>社区建设办公室</w:t>
      </w:r>
      <w:r>
        <w:rPr>
          <w:b/>
        </w:rPr>
        <w:t>（</w:t>
      </w:r>
      <w:r>
        <w:rPr>
          <w:b/>
          <w:spacing w:val="2"/>
        </w:rPr>
        <w:t>社区</w:t>
      </w:r>
      <w:r>
        <w:rPr>
          <w:b/>
          <w:spacing w:val="-34"/>
        </w:rPr>
        <w:t>）：</w:t>
      </w:r>
      <w:r>
        <w:rPr>
          <w:spacing w:val="-5"/>
        </w:rPr>
        <w:t>督促社区居委会、物业服务企业</w:t>
      </w:r>
      <w:r>
        <w:t>加大巡查力度,增加巡查频次，对发现的小区内堆物堆料、乱扔</w:t>
      </w:r>
      <w:r>
        <w:rPr>
          <w:spacing w:val="-18"/>
        </w:rPr>
        <w:t xml:space="preserve">垃圾、楼道堆积废弃物、非法小广告、卫生死角等问题及时处置， </w:t>
      </w:r>
      <w:r>
        <w:rPr>
          <w:spacing w:val="-19"/>
        </w:rPr>
        <w:t>保持社区环境干净整洁。要求物业服务企业对小区内正在发生的</w:t>
      </w:r>
      <w:r>
        <w:rPr>
          <w:spacing w:val="-17"/>
        </w:rPr>
        <w:t>破坏环境行为，及时向居委会、镇政府或行政执法部门报告。未</w:t>
      </w:r>
    </w:p>
    <w:p>
      <w:pPr>
        <w:spacing w:after="0" w:line="316" w:lineRule="auto"/>
        <w:sectPr>
          <w:pgSz w:w="11910" w:h="16840"/>
          <w:pgMar w:top="1580" w:right="0" w:bottom="1880" w:left="1420" w:header="0" w:footer="1689" w:gutter="0"/>
        </w:sectPr>
      </w:pPr>
    </w:p>
    <w:p>
      <w:pPr>
        <w:pStyle w:val="3"/>
        <w:rPr>
          <w:sz w:val="20"/>
        </w:rPr>
      </w:pPr>
      <w:r>
        <w:pict>
          <v:shape id="_x0000_s1039" o:spid="_x0000_s1039" o:spt="136" type="#_x0000_t136" style="position:absolute;left:0pt;margin-left:14.1pt;margin-top:401.4pt;height:48pt;width:576pt;mso-position-horizontal-relative:page;mso-position-vertical-relative:page;rotation:20643840f;z-index:-253137920;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line="316" w:lineRule="auto"/>
        <w:ind w:left="166" w:right="1458"/>
        <w:jc w:val="both"/>
      </w:pPr>
      <w:r>
        <w:rPr>
          <w:spacing w:val="-7"/>
        </w:rPr>
        <w:t>落实好物业管理责任的企业,要求其立即整改。逾期未改的,移送</w:t>
      </w:r>
      <w:r>
        <w:rPr>
          <w:spacing w:val="-14"/>
        </w:rPr>
        <w:t>相关执法部门对企业进行行政处罚。定期组织对各社区、商铺环境综合整治效果进行监督检查并排名。</w:t>
      </w:r>
    </w:p>
    <w:p>
      <w:pPr>
        <w:pStyle w:val="3"/>
        <w:spacing w:line="316" w:lineRule="auto"/>
        <w:ind w:left="166" w:right="1458" w:firstLine="643"/>
        <w:jc w:val="both"/>
      </w:pPr>
      <w:r>
        <w:rPr>
          <w:b/>
          <w:spacing w:val="-20"/>
        </w:rPr>
        <w:t>各社区居委会：</w:t>
      </w:r>
      <w:r>
        <w:t>负责责任区域内人居环境综合整治的具体实</w:t>
      </w:r>
      <w:r>
        <w:rPr>
          <w:spacing w:val="-9"/>
        </w:rPr>
        <w:t>施和监督检查工作。以物业服务企业为主体，动员楼门长、志愿</w:t>
      </w:r>
      <w:r>
        <w:rPr>
          <w:spacing w:val="-13"/>
        </w:rPr>
        <w:t>者、社区工作者、拉家常议事会等力量广泛参与生活垃圾分类宣</w:t>
      </w:r>
      <w:r>
        <w:rPr>
          <w:spacing w:val="-17"/>
        </w:rPr>
        <w:t>传和环境综合整治工作。组织开展问题排查、信息汇总和报送工</w:t>
      </w:r>
      <w:r>
        <w:rPr>
          <w:spacing w:val="-13"/>
        </w:rPr>
        <w:t>作。对违法违规占用、堵塞、封闭消防通道的单位和个人及时上</w:t>
      </w:r>
      <w:r>
        <w:rPr>
          <w:spacing w:val="-18"/>
        </w:rPr>
        <w:t>报相关部门依法实施处罚，督促物业服务单位、社区保洁力量落实主体责任，持续强化居民宣传教育和社区环境整治。</w:t>
      </w:r>
    </w:p>
    <w:p>
      <w:pPr>
        <w:pStyle w:val="3"/>
        <w:spacing w:line="402" w:lineRule="exact"/>
        <w:ind w:left="809"/>
        <w:rPr>
          <w:rFonts w:hint="eastAsia" w:ascii="黑体" w:eastAsia="黑体"/>
        </w:rPr>
      </w:pPr>
      <w:bookmarkStart w:id="3" w:name="六、检查验收"/>
      <w:bookmarkEnd w:id="3"/>
      <w:r>
        <w:rPr>
          <w:rFonts w:hint="eastAsia" w:ascii="黑体" w:eastAsia="黑体"/>
        </w:rPr>
        <w:t>六、检查验收</w:t>
      </w:r>
    </w:p>
    <w:p>
      <w:pPr>
        <w:pStyle w:val="3"/>
        <w:spacing w:before="127"/>
        <w:ind w:left="809"/>
      </w:pPr>
      <w:r>
        <w:t xml:space="preserve">检查验收指标细则详见附件 </w:t>
      </w:r>
      <w:r>
        <w:rPr>
          <w:rFonts w:ascii="Times New Roman" w:eastAsia="Times New Roman"/>
        </w:rPr>
        <w:t>1</w:t>
      </w:r>
      <w:r>
        <w:t>。</w:t>
      </w:r>
    </w:p>
    <w:p>
      <w:pPr>
        <w:pStyle w:val="3"/>
        <w:spacing w:before="130"/>
        <w:ind w:left="809"/>
        <w:rPr>
          <w:rFonts w:hint="eastAsia" w:ascii="黑体" w:eastAsia="黑体"/>
        </w:rPr>
      </w:pPr>
      <w:bookmarkStart w:id="4" w:name="七、任务指标"/>
      <w:bookmarkEnd w:id="4"/>
      <w:r>
        <w:rPr>
          <w:rFonts w:hint="eastAsia" w:ascii="黑体" w:eastAsia="黑体"/>
        </w:rPr>
        <w:t>七、任务指标</w:t>
      </w:r>
    </w:p>
    <w:p>
      <w:pPr>
        <w:pStyle w:val="3"/>
        <w:spacing w:before="130" w:line="316" w:lineRule="auto"/>
        <w:ind w:left="166" w:right="1458" w:firstLine="643"/>
      </w:pPr>
      <w:r>
        <w:rPr>
          <w:spacing w:val="-10"/>
        </w:rPr>
        <w:t>各社区根据整治情况，评定出精品小区、达标小区、提升小区、挂账小区四个等级。</w:t>
      </w:r>
    </w:p>
    <w:p>
      <w:pPr>
        <w:pStyle w:val="3"/>
        <w:spacing w:line="316" w:lineRule="auto"/>
        <w:ind w:left="166" w:right="1458" w:firstLine="643"/>
      </w:pPr>
      <w:r>
        <w:rPr>
          <w:spacing w:val="-12"/>
        </w:rPr>
        <w:t xml:space="preserve">精品小区：在各社区达标小区中，评选出 </w:t>
      </w:r>
      <w:r>
        <w:rPr>
          <w:rFonts w:ascii="Calibri" w:eastAsia="Calibri"/>
        </w:rPr>
        <w:t>1-2</w:t>
      </w:r>
      <w:r>
        <w:rPr>
          <w:rFonts w:ascii="Calibri" w:eastAsia="Calibri"/>
          <w:spacing w:val="13"/>
        </w:rPr>
        <w:t xml:space="preserve"> </w:t>
      </w:r>
      <w:r>
        <w:t>个整治效果突出的小区作为精品小区。</w:t>
      </w:r>
    </w:p>
    <w:p>
      <w:pPr>
        <w:pStyle w:val="3"/>
        <w:spacing w:line="316" w:lineRule="auto"/>
        <w:ind w:left="809" w:right="2301"/>
      </w:pPr>
      <w:r>
        <w:t>达标小区：已完成“十大环境问题”整治的小区。 提升小区：正在进行“十大环境问题”整治的小区。</w:t>
      </w:r>
    </w:p>
    <w:p>
      <w:pPr>
        <w:pStyle w:val="3"/>
        <w:spacing w:line="316" w:lineRule="auto"/>
        <w:ind w:left="166" w:right="1458" w:firstLine="643"/>
      </w:pPr>
      <w:r>
        <w:rPr>
          <w:spacing w:val="-12"/>
        </w:rPr>
        <w:t>挂账小区：各社区依据实际情况，如有存在痛点、难点问题需要镇、区相关部门协助解决的小区，可作为挂账小区。</w:t>
      </w:r>
    </w:p>
    <w:p>
      <w:pPr>
        <w:pStyle w:val="3"/>
        <w:spacing w:line="316" w:lineRule="auto"/>
        <w:ind w:left="166" w:right="1455" w:firstLine="643"/>
      </w:pPr>
      <w:r>
        <w:rPr>
          <w:spacing w:val="-10"/>
        </w:rPr>
        <w:t>请各社区对照《检查验收指标细则》</w:t>
      </w:r>
      <w:r>
        <w:t>（</w:t>
      </w:r>
      <w:r>
        <w:rPr>
          <w:spacing w:val="-27"/>
        </w:rPr>
        <w:t xml:space="preserve">附件 </w:t>
      </w:r>
      <w:r>
        <w:rPr>
          <w:spacing w:val="-15"/>
        </w:rPr>
        <w:t>1）</w:t>
      </w:r>
      <w:r>
        <w:rPr>
          <w:spacing w:val="-38"/>
        </w:rPr>
        <w:t xml:space="preserve">于 </w:t>
      </w:r>
      <w:r>
        <w:t>2022</w:t>
      </w:r>
      <w:r>
        <w:rPr>
          <w:spacing w:val="-53"/>
        </w:rPr>
        <w:t xml:space="preserve"> 年 </w:t>
      </w:r>
      <w:r>
        <w:t xml:space="preserve">3 </w:t>
      </w:r>
      <w:r>
        <w:rPr>
          <w:spacing w:val="-8"/>
        </w:rPr>
        <w:t xml:space="preserve">月 </w:t>
      </w:r>
      <w:r>
        <w:t>11</w:t>
      </w:r>
      <w:r>
        <w:rPr>
          <w:spacing w:val="-11"/>
        </w:rPr>
        <w:t xml:space="preserve"> 日 </w:t>
      </w:r>
      <w:r>
        <w:t>16:00</w:t>
      </w:r>
      <w:r>
        <w:rPr>
          <w:spacing w:val="57"/>
        </w:rPr>
        <w:t xml:space="preserve"> 前向社区建设办公室</w:t>
      </w:r>
      <w:r>
        <w:t>（</w:t>
      </w:r>
      <w:r>
        <w:rPr>
          <w:spacing w:val="13"/>
        </w:rPr>
        <w:t xml:space="preserve"> 社区</w:t>
      </w:r>
      <w:r>
        <w:t>）</w:t>
      </w:r>
      <w:r>
        <w:rPr>
          <w:spacing w:val="-92"/>
        </w:rPr>
        <w:t xml:space="preserve"> </w:t>
      </w:r>
      <w:r>
        <w:t>（</w:t>
      </w:r>
      <w:r>
        <w:rPr>
          <w:spacing w:val="9"/>
        </w:rPr>
        <w:t xml:space="preserve"> 邮箱：</w:t>
      </w:r>
    </w:p>
    <w:p>
      <w:pPr>
        <w:spacing w:after="0" w:line="316" w:lineRule="auto"/>
        <w:sectPr>
          <w:footerReference r:id="rId5" w:type="default"/>
          <w:footerReference r:id="rId6" w:type="even"/>
          <w:pgSz w:w="11910" w:h="16840"/>
          <w:pgMar w:top="1580" w:right="0" w:bottom="1880" w:left="1420" w:header="0" w:footer="1689" w:gutter="0"/>
          <w:pgNumType w:start="10"/>
        </w:sectPr>
      </w:pPr>
    </w:p>
    <w:p>
      <w:pPr>
        <w:pStyle w:val="3"/>
        <w:rPr>
          <w:sz w:val="20"/>
        </w:rPr>
      </w:pPr>
      <w:r>
        <w:pict>
          <v:shape id="_x0000_s1040" o:spid="_x0000_s1040" o:spt="136" type="#_x0000_t136" style="position:absolute;left:0pt;margin-left:14.1pt;margin-top:401.4pt;height:48pt;width:576pt;mso-position-horizontal-relative:page;mso-position-vertical-relative:page;rotation:20643840f;z-index:-253136896;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line="316" w:lineRule="auto"/>
        <w:ind w:left="166" w:right="1296"/>
      </w:pPr>
      <w:r>
        <w:fldChar w:fldCharType="begin"/>
      </w:r>
      <w:r>
        <w:instrText xml:space="preserve"> HYPERLINK "mailto:xhmshb@bjdx.gov.cn" \h </w:instrText>
      </w:r>
      <w:r>
        <w:fldChar w:fldCharType="separate"/>
      </w:r>
      <w:r>
        <w:rPr>
          <w:spacing w:val="-3"/>
        </w:rPr>
        <w:t>xhmshb@bjdx.gov.cn</w:t>
      </w:r>
      <w:r>
        <w:rPr>
          <w:spacing w:val="-3"/>
        </w:rPr>
        <w:fldChar w:fldCharType="end"/>
      </w:r>
      <w:r>
        <w:rPr>
          <w:spacing w:val="-3"/>
        </w:rPr>
        <w:t>）</w:t>
      </w:r>
      <w:r>
        <w:rPr>
          <w:spacing w:val="-5"/>
        </w:rPr>
        <w:t>报送小区等级评定情况汇总表</w:t>
      </w:r>
      <w:r>
        <w:t>（</w:t>
      </w:r>
      <w:r>
        <w:rPr>
          <w:spacing w:val="-25"/>
        </w:rPr>
        <w:t xml:space="preserve">附件 </w:t>
      </w:r>
      <w:r>
        <w:rPr>
          <w:spacing w:val="-30"/>
        </w:rPr>
        <w:t xml:space="preserve">2）， </w:t>
      </w:r>
      <w:r>
        <w:rPr>
          <w:spacing w:val="-7"/>
        </w:rPr>
        <w:t xml:space="preserve">同时各成员单位、各社区于 </w:t>
      </w:r>
      <w:r>
        <w:t>2022</w:t>
      </w:r>
      <w:r>
        <w:rPr>
          <w:spacing w:val="-52"/>
        </w:rPr>
        <w:t xml:space="preserve"> 年 </w:t>
      </w:r>
      <w:r>
        <w:t>3</w:t>
      </w:r>
      <w:r>
        <w:rPr>
          <w:spacing w:val="-53"/>
        </w:rPr>
        <w:t xml:space="preserve"> 月 </w:t>
      </w:r>
      <w:r>
        <w:t>8</w:t>
      </w:r>
      <w:r>
        <w:rPr>
          <w:spacing w:val="-52"/>
        </w:rPr>
        <w:t xml:space="preserve"> 日 </w:t>
      </w:r>
      <w:r>
        <w:t>16:00</w:t>
      </w:r>
      <w:r>
        <w:rPr>
          <w:spacing w:val="-13"/>
        </w:rPr>
        <w:t xml:space="preserve"> 前上交《各单位联络员信息表》（</w:t>
      </w:r>
      <w:r>
        <w:rPr>
          <w:spacing w:val="-35"/>
        </w:rPr>
        <w:t xml:space="preserve">附件 </w:t>
      </w:r>
      <w:r>
        <w:t>3）。</w:t>
      </w:r>
    </w:p>
    <w:p>
      <w:pPr>
        <w:pStyle w:val="3"/>
        <w:spacing w:line="406" w:lineRule="exact"/>
        <w:ind w:left="809"/>
        <w:rPr>
          <w:rFonts w:hint="eastAsia" w:ascii="黑体" w:eastAsia="黑体"/>
        </w:rPr>
      </w:pPr>
      <w:bookmarkStart w:id="5" w:name="八、工作制度"/>
      <w:bookmarkEnd w:id="5"/>
      <w:r>
        <w:rPr>
          <w:rFonts w:hint="eastAsia" w:ascii="黑体" w:eastAsia="黑体"/>
        </w:rPr>
        <w:t>八、工作制度</w:t>
      </w:r>
    </w:p>
    <w:p>
      <w:pPr>
        <w:pStyle w:val="3"/>
        <w:spacing w:before="130"/>
        <w:ind w:left="809"/>
        <w:rPr>
          <w:rFonts w:hint="eastAsia" w:ascii="楷体_GB2312" w:eastAsia="楷体_GB2312"/>
        </w:rPr>
      </w:pPr>
      <w:bookmarkStart w:id="6" w:name="（一）联席会制度"/>
      <w:bookmarkEnd w:id="6"/>
      <w:r>
        <w:rPr>
          <w:rFonts w:hint="eastAsia" w:ascii="楷体_GB2312" w:eastAsia="楷体_GB2312"/>
        </w:rPr>
        <w:t>（一）联席会制度</w:t>
      </w:r>
    </w:p>
    <w:p>
      <w:pPr>
        <w:pStyle w:val="3"/>
        <w:spacing w:before="130" w:line="316" w:lineRule="auto"/>
        <w:ind w:left="166" w:right="1458" w:firstLine="643"/>
        <w:jc w:val="both"/>
      </w:pPr>
      <w:r>
        <w:rPr>
          <w:spacing w:val="-9"/>
        </w:rPr>
        <w:t>原则上，每两周由组长</w:t>
      </w:r>
      <w:r>
        <w:t>（副组长</w:t>
      </w:r>
      <w:r>
        <w:rPr>
          <w:spacing w:val="-31"/>
        </w:rPr>
        <w:t>）</w:t>
      </w:r>
      <w:r>
        <w:rPr>
          <w:spacing w:val="-4"/>
        </w:rPr>
        <w:t>召开工作联席会，听取各</w:t>
      </w:r>
      <w:r>
        <w:rPr>
          <w:spacing w:val="-13"/>
        </w:rPr>
        <w:t>成员单位工作汇报，统筹调度各成员单位协调解决整治行动中的痛点、顽疾等问题，遇有特殊情况，及时召开。</w:t>
      </w:r>
    </w:p>
    <w:p>
      <w:pPr>
        <w:pStyle w:val="3"/>
        <w:spacing w:line="406" w:lineRule="exact"/>
        <w:ind w:left="809"/>
        <w:rPr>
          <w:rFonts w:hint="eastAsia" w:ascii="楷体_GB2312" w:eastAsia="楷体_GB2312"/>
        </w:rPr>
      </w:pPr>
      <w:bookmarkStart w:id="7" w:name="（二）信息报送制度"/>
      <w:bookmarkEnd w:id="7"/>
      <w:r>
        <w:rPr>
          <w:rFonts w:hint="eastAsia" w:ascii="楷体_GB2312" w:eastAsia="楷体_GB2312"/>
        </w:rPr>
        <w:t>（二）信息报送制度</w:t>
      </w:r>
    </w:p>
    <w:p>
      <w:pPr>
        <w:pStyle w:val="3"/>
        <w:spacing w:before="130" w:line="316" w:lineRule="auto"/>
        <w:ind w:left="166" w:right="1344" w:firstLine="643"/>
      </w:pPr>
      <w:r>
        <w:rPr>
          <w:spacing w:val="-7"/>
        </w:rPr>
        <w:t>各成员单位及各社区要把整治行动工作作为“一把手”工程</w:t>
      </w:r>
      <w:r>
        <w:rPr>
          <w:spacing w:val="-13"/>
        </w:rPr>
        <w:t>来抓，明确主要责任人和工作人员，并建立联络员制度，保持联络员稳定，遇人员调整需及时报送镇社区建设办公室（社区）。</w:t>
      </w:r>
      <w:r>
        <w:rPr>
          <w:spacing w:val="-18"/>
        </w:rPr>
        <w:t>每周五下班前将本周整治进度及台账、痛点难点问题等工作情况汇总报送社会建设办公室（邮箱：</w:t>
      </w:r>
      <w:r>
        <w:fldChar w:fldCharType="begin"/>
      </w:r>
      <w:r>
        <w:instrText xml:space="preserve"> HYPERLINK "mailto:xhmshb@bjdx.gov.cn" \h </w:instrText>
      </w:r>
      <w:r>
        <w:fldChar w:fldCharType="separate"/>
      </w:r>
      <w:r>
        <w:rPr>
          <w:spacing w:val="-18"/>
        </w:rPr>
        <w:t>xhmshb@bjdx.gov.cn</w:t>
      </w:r>
      <w:r>
        <w:rPr>
          <w:spacing w:val="-18"/>
        </w:rPr>
        <w:fldChar w:fldCharType="end"/>
      </w:r>
      <w:r>
        <w:rPr>
          <w:spacing w:val="-18"/>
        </w:rPr>
        <w:t>）。</w:t>
      </w:r>
    </w:p>
    <w:p>
      <w:pPr>
        <w:pStyle w:val="3"/>
        <w:spacing w:line="404" w:lineRule="exact"/>
        <w:ind w:left="809"/>
        <w:rPr>
          <w:rFonts w:hint="eastAsia" w:ascii="楷体_GB2312" w:eastAsia="楷体_GB2312"/>
        </w:rPr>
      </w:pPr>
      <w:bookmarkStart w:id="8" w:name="（三）集中执法制度"/>
      <w:bookmarkEnd w:id="8"/>
      <w:r>
        <w:rPr>
          <w:rFonts w:hint="eastAsia" w:ascii="楷体_GB2312" w:eastAsia="楷体_GB2312"/>
        </w:rPr>
        <w:t>（三）集中执法制度</w:t>
      </w:r>
    </w:p>
    <w:p>
      <w:pPr>
        <w:pStyle w:val="3"/>
        <w:spacing w:before="130" w:line="316" w:lineRule="auto"/>
        <w:ind w:left="166" w:right="1458" w:firstLine="643"/>
        <w:jc w:val="both"/>
      </w:pPr>
      <w:r>
        <w:rPr>
          <w:spacing w:val="-11"/>
        </w:rPr>
        <w:t>为加强统筹协调，采用集中各成员单位执法力量，定期定点</w:t>
      </w:r>
      <w:r>
        <w:rPr>
          <w:spacing w:val="-13"/>
        </w:rPr>
        <w:t>执法，召开现场推进会，有效推进整治行动工作落实。集中执法</w:t>
      </w:r>
      <w:r>
        <w:rPr>
          <w:spacing w:val="-17"/>
        </w:rPr>
        <w:t>是联席会议的一种形式，组长(副组长)可根据实际情况选择当期会议形式。</w:t>
      </w:r>
    </w:p>
    <w:p>
      <w:pPr>
        <w:pStyle w:val="3"/>
        <w:spacing w:line="405" w:lineRule="exact"/>
        <w:ind w:left="809"/>
        <w:rPr>
          <w:rFonts w:hint="eastAsia" w:ascii="楷体_GB2312" w:eastAsia="楷体_GB2312"/>
        </w:rPr>
      </w:pPr>
      <w:r>
        <w:rPr>
          <w:rFonts w:hint="eastAsia" w:ascii="楷体_GB2312" w:eastAsia="楷体_GB2312"/>
        </w:rPr>
        <w:t>(四）督导检查制度</w:t>
      </w:r>
    </w:p>
    <w:p>
      <w:pPr>
        <w:pStyle w:val="3"/>
        <w:spacing w:before="130" w:line="316" w:lineRule="auto"/>
        <w:ind w:left="166" w:right="1327" w:firstLine="643"/>
      </w:pPr>
      <w:r>
        <w:t>纪委监察办、党群工作办公室（宣传）、创城办、综合行政执法队、市场监管所、民生保障办公室（卫生健康）、派出所、安全科、平安建设办公室（综治）、城乡建设办公室（环整）、</w:t>
      </w:r>
    </w:p>
    <w:p>
      <w:pPr>
        <w:spacing w:after="0" w:line="316" w:lineRule="auto"/>
        <w:sectPr>
          <w:pgSz w:w="11910" w:h="16840"/>
          <w:pgMar w:top="1580" w:right="0" w:bottom="1880" w:left="1420" w:header="0" w:footer="1689" w:gutter="0"/>
        </w:sectPr>
      </w:pPr>
    </w:p>
    <w:p>
      <w:pPr>
        <w:pStyle w:val="3"/>
        <w:rPr>
          <w:sz w:val="20"/>
        </w:rPr>
      </w:pPr>
      <w:r>
        <w:pict>
          <v:shape id="_x0000_s1041" o:spid="_x0000_s1041" o:spt="136" type="#_x0000_t136" style="position:absolute;left:0pt;margin-left:14.1pt;margin-top:401.4pt;height:48pt;width:576pt;mso-position-horizontal-relative:page;mso-position-vertical-relative:page;rotation:20643840f;z-index:-253135872;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line="316" w:lineRule="auto"/>
        <w:ind w:left="166" w:right="1296"/>
      </w:pPr>
      <w:r>
        <w:rPr>
          <w:spacing w:val="-6"/>
        </w:rPr>
        <w:t>产业发展服务中心</w:t>
      </w:r>
      <w:r>
        <w:t>（林业</w:t>
      </w:r>
      <w:r>
        <w:rPr>
          <w:spacing w:val="-43"/>
        </w:rPr>
        <w:t>）</w:t>
      </w:r>
      <w:r>
        <w:rPr>
          <w:spacing w:val="-4"/>
        </w:rPr>
        <w:t>定期对各社区进行检查。其次各社区</w:t>
      </w:r>
      <w:r>
        <w:rPr>
          <w:spacing w:val="-16"/>
        </w:rPr>
        <w:t>之间定专人定期互查。同时社区建设办公室</w:t>
      </w:r>
      <w:r>
        <w:t>（社区</w:t>
      </w:r>
      <w:r>
        <w:rPr>
          <w:spacing w:val="-96"/>
        </w:rPr>
        <w:t>）</w:t>
      </w:r>
      <w:r>
        <w:t>统筹创城办、</w:t>
      </w:r>
      <w:r>
        <w:rPr>
          <w:spacing w:val="-6"/>
        </w:rPr>
        <w:t>民生保障办公室</w:t>
      </w:r>
      <w:r>
        <w:t>（</w:t>
      </w:r>
      <w:r>
        <w:rPr>
          <w:spacing w:val="1"/>
        </w:rPr>
        <w:t>卫生健康</w:t>
      </w:r>
      <w:r>
        <w:rPr>
          <w:spacing w:val="-43"/>
        </w:rPr>
        <w:t>）</w:t>
      </w:r>
      <w:r>
        <w:rPr>
          <w:spacing w:val="-7"/>
        </w:rPr>
        <w:t>、物业考核专业公司对各社区开展</w:t>
      </w:r>
      <w:r>
        <w:rPr>
          <w:spacing w:val="-11"/>
        </w:rPr>
        <w:t>检查，并对存在的问题现场指导，协助解决问题。同时，及时为领导提供治理效果信息。</w:t>
      </w:r>
    </w:p>
    <w:p>
      <w:pPr>
        <w:pStyle w:val="3"/>
        <w:spacing w:line="404" w:lineRule="exact"/>
        <w:ind w:left="809"/>
        <w:rPr>
          <w:rFonts w:hint="eastAsia" w:ascii="楷体_GB2312" w:eastAsia="楷体_GB2312"/>
        </w:rPr>
      </w:pPr>
      <w:bookmarkStart w:id="9" w:name="（五）报告和通报制度"/>
      <w:bookmarkEnd w:id="9"/>
      <w:r>
        <w:rPr>
          <w:rFonts w:hint="eastAsia" w:ascii="楷体_GB2312" w:eastAsia="楷体_GB2312"/>
        </w:rPr>
        <w:t>（五）报告和通报制度</w:t>
      </w:r>
    </w:p>
    <w:p>
      <w:pPr>
        <w:pStyle w:val="3"/>
        <w:spacing w:before="130" w:line="316" w:lineRule="auto"/>
        <w:ind w:left="166" w:right="1457" w:firstLine="643"/>
      </w:pPr>
      <w:r>
        <w:rPr>
          <w:spacing w:val="-7"/>
        </w:rPr>
        <w:t>社区建设办公室</w:t>
      </w:r>
      <w:r>
        <w:t>（社区</w:t>
      </w:r>
      <w:r>
        <w:rPr>
          <w:spacing w:val="-43"/>
        </w:rPr>
        <w:t>）</w:t>
      </w:r>
      <w:r>
        <w:rPr>
          <w:spacing w:val="-7"/>
        </w:rPr>
        <w:t>以简报、专刊等形式将各社区整治情况上报镇党委、镇政府，并下发各相关部门及社区。</w:t>
      </w:r>
    </w:p>
    <w:p>
      <w:pPr>
        <w:pStyle w:val="3"/>
        <w:spacing w:line="408" w:lineRule="exact"/>
        <w:ind w:left="809"/>
        <w:rPr>
          <w:rFonts w:hint="eastAsia" w:ascii="黑体" w:eastAsia="黑体"/>
        </w:rPr>
      </w:pPr>
      <w:bookmarkStart w:id="10" w:name="九、工作要求"/>
      <w:bookmarkEnd w:id="10"/>
      <w:r>
        <w:rPr>
          <w:rFonts w:hint="eastAsia" w:ascii="黑体" w:eastAsia="黑体"/>
        </w:rPr>
        <w:t>九、工作要求</w:t>
      </w:r>
    </w:p>
    <w:p>
      <w:pPr>
        <w:pStyle w:val="3"/>
        <w:spacing w:before="130"/>
        <w:ind w:left="809"/>
        <w:rPr>
          <w:rFonts w:hint="eastAsia" w:ascii="楷体_GB2312" w:eastAsia="楷体_GB2312"/>
        </w:rPr>
      </w:pPr>
      <w:bookmarkStart w:id="11" w:name="（一）加强组织领导"/>
      <w:bookmarkEnd w:id="11"/>
      <w:r>
        <w:rPr>
          <w:rFonts w:hint="eastAsia" w:ascii="楷体_GB2312" w:eastAsia="楷体_GB2312"/>
        </w:rPr>
        <w:t>（一）加强组织领导</w:t>
      </w:r>
    </w:p>
    <w:p>
      <w:pPr>
        <w:pStyle w:val="3"/>
        <w:spacing w:before="130" w:line="316" w:lineRule="auto"/>
        <w:ind w:left="166" w:right="1457" w:firstLine="643"/>
        <w:jc w:val="both"/>
      </w:pPr>
      <w:r>
        <w:rPr>
          <w:spacing w:val="-10"/>
        </w:rPr>
        <w:t>各成员单位要提高政治站位，充分认识本次整治行动的重要</w:t>
      </w:r>
      <w:r>
        <w:rPr>
          <w:spacing w:val="-13"/>
        </w:rPr>
        <w:t>意义。各社区要明确社区与管理责任人责任，把提升居民居住环境纳入重要议事日程，结合社区特点，制定工作计划。</w:t>
      </w:r>
    </w:p>
    <w:p>
      <w:pPr>
        <w:pStyle w:val="3"/>
        <w:spacing w:line="406" w:lineRule="exact"/>
        <w:ind w:left="809"/>
        <w:rPr>
          <w:rFonts w:hint="eastAsia" w:ascii="楷体_GB2312" w:eastAsia="楷体_GB2312"/>
        </w:rPr>
      </w:pPr>
      <w:bookmarkStart w:id="12" w:name="（二）强化督促落实"/>
      <w:bookmarkEnd w:id="12"/>
      <w:r>
        <w:rPr>
          <w:rFonts w:hint="eastAsia" w:ascii="楷体_GB2312" w:eastAsia="楷体_GB2312"/>
        </w:rPr>
        <w:t>（二）强化督促落实</w:t>
      </w:r>
    </w:p>
    <w:p>
      <w:pPr>
        <w:pStyle w:val="3"/>
        <w:spacing w:before="130" w:line="316" w:lineRule="auto"/>
        <w:ind w:left="166" w:right="1454" w:firstLine="643"/>
        <w:jc w:val="both"/>
      </w:pPr>
      <w:r>
        <w:rPr>
          <w:spacing w:val="-10"/>
        </w:rPr>
        <w:t>各社区要认真履职，将整治行动的各项工作抓好落实。紧密</w:t>
      </w:r>
      <w:r>
        <w:rPr>
          <w:spacing w:val="-12"/>
        </w:rPr>
        <w:t>结合“创城”“创卫”工作统筹推进，充分发挥居委会、业主大</w:t>
      </w:r>
      <w:r>
        <w:rPr>
          <w:spacing w:val="-13"/>
        </w:rPr>
        <w:t>会、业主委员会、物业管理委员会、物业服务企业等各级组织的作用，形成合力，保持工作实效。</w:t>
      </w:r>
    </w:p>
    <w:p>
      <w:pPr>
        <w:pStyle w:val="3"/>
        <w:spacing w:line="405" w:lineRule="exact"/>
        <w:ind w:left="809"/>
        <w:rPr>
          <w:rFonts w:hint="eastAsia" w:ascii="楷体_GB2312" w:eastAsia="楷体_GB2312"/>
        </w:rPr>
      </w:pPr>
      <w:bookmarkStart w:id="13" w:name="（三）强化宣传"/>
      <w:bookmarkEnd w:id="13"/>
      <w:r>
        <w:rPr>
          <w:rFonts w:hint="eastAsia" w:ascii="楷体_GB2312" w:eastAsia="楷体_GB2312"/>
        </w:rPr>
        <w:t>（三）强化宣传</w:t>
      </w:r>
    </w:p>
    <w:p>
      <w:pPr>
        <w:pStyle w:val="3"/>
        <w:spacing w:before="130" w:line="316" w:lineRule="auto"/>
        <w:ind w:left="166" w:right="1327" w:firstLine="643"/>
      </w:pPr>
      <w:r>
        <w:rPr>
          <w:spacing w:val="-9"/>
        </w:rPr>
        <w:t xml:space="preserve">采取多种形式的宣传引导，结合疫情防控、查水查电等常规动作进行入户宣传，采取敲门行动、物业经理培训等方式方法， </w:t>
      </w:r>
      <w:r>
        <w:rPr>
          <w:spacing w:val="-17"/>
        </w:rPr>
        <w:t>提高居民环境自治意识和水平，形成相互监督、共同享有宜居生活环境的和谐社区氛围。</w:t>
      </w:r>
    </w:p>
    <w:p>
      <w:pPr>
        <w:spacing w:after="0" w:line="316" w:lineRule="auto"/>
        <w:sectPr>
          <w:pgSz w:w="11910" w:h="16840"/>
          <w:pgMar w:top="1580" w:right="0" w:bottom="1880" w:left="1420" w:header="0" w:footer="1689" w:gutter="0"/>
        </w:sectPr>
      </w:pPr>
    </w:p>
    <w:p>
      <w:pPr>
        <w:pStyle w:val="3"/>
        <w:rPr>
          <w:sz w:val="20"/>
        </w:rPr>
      </w:pPr>
      <w:r>
        <w:pict>
          <v:shape id="_x0000_s1042" o:spid="_x0000_s1042" o:spt="136" type="#_x0000_t136" style="position:absolute;left:0pt;margin-left:14.1pt;margin-top:401.4pt;height:48pt;width:576pt;mso-position-horizontal-relative:page;mso-position-vertical-relative:page;rotation:20643840f;z-index:-253134848;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7"/>
        <w:rPr>
          <w:sz w:val="23"/>
        </w:rPr>
      </w:pPr>
    </w:p>
    <w:p>
      <w:pPr>
        <w:pStyle w:val="3"/>
        <w:spacing w:before="54"/>
        <w:ind w:left="809"/>
        <w:rPr>
          <w:rFonts w:hint="eastAsia" w:ascii="楷体_GB2312" w:eastAsia="楷体_GB2312"/>
        </w:rPr>
      </w:pPr>
      <w:bookmarkStart w:id="14" w:name="（四）加大曝光警示"/>
      <w:bookmarkEnd w:id="14"/>
      <w:r>
        <w:rPr>
          <w:rFonts w:hint="eastAsia" w:ascii="楷体_GB2312" w:eastAsia="楷体_GB2312"/>
        </w:rPr>
        <w:t>（四）加大曝光警示</w:t>
      </w:r>
    </w:p>
    <w:p>
      <w:pPr>
        <w:pStyle w:val="3"/>
        <w:spacing w:before="130" w:line="316" w:lineRule="auto"/>
        <w:ind w:left="166" w:right="1454" w:firstLine="643"/>
        <w:jc w:val="both"/>
      </w:pPr>
      <w:r>
        <w:rPr>
          <w:spacing w:val="-10"/>
        </w:rPr>
        <w:t>充分利用各类媒体，全面宣传报道整治行动，营造良好的舆</w:t>
      </w:r>
      <w:r>
        <w:rPr>
          <w:spacing w:val="-14"/>
        </w:rPr>
        <w:t>论氛围。宣传正面典型，强化示范引领。曝光反面典型，扩大警示效应、倒逼问题整改，大力营造“遵纪守法、违法必究”的法治氛围。</w:t>
      </w:r>
    </w:p>
    <w:p>
      <w:pPr>
        <w:pStyle w:val="3"/>
        <w:spacing w:before="10"/>
        <w:rPr>
          <w:sz w:val="41"/>
        </w:rPr>
      </w:pPr>
    </w:p>
    <w:p>
      <w:pPr>
        <w:pStyle w:val="3"/>
        <w:ind w:left="809"/>
      </w:pPr>
      <w:r>
        <w:t>附件: 1.检查验收指标细则</w:t>
      </w:r>
    </w:p>
    <w:p>
      <w:pPr>
        <w:pStyle w:val="7"/>
        <w:numPr>
          <w:ilvl w:val="1"/>
          <w:numId w:val="1"/>
        </w:numPr>
        <w:tabs>
          <w:tab w:val="left" w:pos="2094"/>
        </w:tabs>
        <w:spacing w:before="130" w:after="0" w:line="240" w:lineRule="auto"/>
        <w:ind w:left="2093" w:right="0" w:hanging="322"/>
        <w:jc w:val="left"/>
        <w:rPr>
          <w:sz w:val="32"/>
        </w:rPr>
      </w:pPr>
      <w:r>
        <w:rPr>
          <w:sz w:val="32"/>
        </w:rPr>
        <w:t>西红门镇小区等级评定情况汇总表</w:t>
      </w:r>
    </w:p>
    <w:p>
      <w:pPr>
        <w:pStyle w:val="7"/>
        <w:numPr>
          <w:ilvl w:val="1"/>
          <w:numId w:val="1"/>
        </w:numPr>
        <w:tabs>
          <w:tab w:val="left" w:pos="2094"/>
        </w:tabs>
        <w:spacing w:before="130" w:after="0" w:line="240" w:lineRule="auto"/>
        <w:ind w:left="2093" w:right="0" w:hanging="322"/>
        <w:jc w:val="left"/>
        <w:rPr>
          <w:sz w:val="32"/>
        </w:rPr>
      </w:pPr>
      <w:r>
        <w:rPr>
          <w:sz w:val="32"/>
        </w:rPr>
        <w:t>各单位联络员信息表</w:t>
      </w:r>
    </w:p>
    <w:p>
      <w:pPr>
        <w:pStyle w:val="3"/>
      </w:pPr>
    </w:p>
    <w:p>
      <w:pPr>
        <w:pStyle w:val="3"/>
      </w:pPr>
    </w:p>
    <w:p>
      <w:pPr>
        <w:pStyle w:val="3"/>
        <w:spacing w:before="6"/>
        <w:rPr>
          <w:sz w:val="30"/>
        </w:rPr>
      </w:pPr>
    </w:p>
    <w:p>
      <w:pPr>
        <w:pStyle w:val="3"/>
        <w:spacing w:line="316" w:lineRule="auto"/>
        <w:ind w:left="5302" w:right="2282" w:hanging="627"/>
      </w:pPr>
      <w:r>
        <w:rPr>
          <w:spacing w:val="-2"/>
        </w:rPr>
        <w:t>大兴区西红门镇人民政府</w:t>
      </w:r>
      <w:r>
        <w:t>2022</w:t>
      </w:r>
      <w:r>
        <w:rPr>
          <w:spacing w:val="-55"/>
        </w:rPr>
        <w:t xml:space="preserve"> 年 </w:t>
      </w:r>
      <w:r>
        <w:t>3</w:t>
      </w:r>
      <w:r>
        <w:rPr>
          <w:spacing w:val="-53"/>
        </w:rPr>
        <w:t xml:space="preserve"> 月 </w:t>
      </w:r>
      <w:r>
        <w:t>7</w:t>
      </w:r>
      <w:r>
        <w:rPr>
          <w:spacing w:val="-41"/>
        </w:rPr>
        <w:t xml:space="preserve"> 日</w:t>
      </w:r>
    </w:p>
    <w:p>
      <w:pPr>
        <w:spacing w:after="0" w:line="408" w:lineRule="exact"/>
        <w:sectPr>
          <w:pgSz w:w="11910" w:h="16840"/>
          <w:pgMar w:top="1580" w:right="0" w:bottom="1880" w:left="1420" w:header="0" w:footer="1689" w:gutter="0"/>
        </w:sectPr>
      </w:pPr>
      <w:bookmarkStart w:id="128" w:name="_GoBack"/>
      <w:bookmarkEnd w:id="128"/>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1"/>
        <w:rPr>
          <w:sz w:val="25"/>
        </w:rPr>
      </w:pPr>
    </w:p>
    <w:p>
      <w:pPr>
        <w:spacing w:after="0"/>
        <w:rPr>
          <w:sz w:val="25"/>
        </w:rPr>
        <w:sectPr>
          <w:footerReference r:id="rId7" w:type="default"/>
          <w:footerReference r:id="rId8" w:type="even"/>
          <w:pgSz w:w="16840" w:h="11910" w:orient="landscape"/>
          <w:pgMar w:top="0" w:right="780" w:bottom="1800" w:left="880" w:header="0" w:footer="1609" w:gutter="0"/>
          <w:pgNumType w:start="14"/>
        </w:sectPr>
      </w:pPr>
    </w:p>
    <w:p>
      <w:pPr>
        <w:pStyle w:val="3"/>
        <w:spacing w:before="54"/>
        <w:ind w:left="1104"/>
        <w:rPr>
          <w:rFonts w:hint="eastAsia" w:ascii="黑体" w:eastAsia="黑体"/>
        </w:rPr>
      </w:pPr>
      <w:r>
        <w:pict>
          <v:shape id="_x0000_s1043" o:spid="_x0000_s1043" o:spt="136" type="#_x0000_t136" style="position:absolute;left:0pt;margin-left:137.4pt;margin-top:278.1pt;height:48pt;width:576pt;mso-position-horizontal-relative:page;mso-position-vertical-relative:page;rotation:20643840f;z-index:25167462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r>
        <w:pict>
          <v:shape id="_x0000_s1044" o:spid="_x0000_s1044" o:spt="202" type="#_x0000_t202" style="position:absolute;left:0pt;margin-left:49.35pt;margin-top:52.4pt;height:361.8pt;width:737.75pt;mso-position-horizontal-relative:page;z-index:251675648;mso-width-relative:page;mso-height-relative:page;" filled="f" stroked="f" coordsize="21600,21600">
            <v:path/>
            <v:fill on="f" focussize="0,0"/>
            <v:stroke on="f" joinstyle="miter"/>
            <v:imagedata o:title=""/>
            <o:lock v:ext="edit"/>
            <v:textbox inset="0mm,0mm,0mm,0mm">
              <w:txbxContent>
                <w:tbl>
                  <w:tblPr>
                    <w:tblStyle w:val="4"/>
                    <w:tblW w:w="14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131"/>
                    <w:gridCol w:w="2136"/>
                    <w:gridCol w:w="8012"/>
                    <w:gridCol w:w="1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926" w:type="dxa"/>
                      </w:tcPr>
                      <w:p>
                        <w:pPr>
                          <w:pStyle w:val="8"/>
                          <w:spacing w:before="168"/>
                          <w:ind w:left="164" w:right="151"/>
                          <w:jc w:val="center"/>
                          <w:rPr>
                            <w:rFonts w:hint="eastAsia" w:ascii="黑体" w:eastAsia="黑体"/>
                            <w:sz w:val="28"/>
                          </w:rPr>
                        </w:pPr>
                        <w:r>
                          <w:rPr>
                            <w:rFonts w:hint="eastAsia" w:ascii="黑体" w:eastAsia="黑体"/>
                            <w:sz w:val="28"/>
                          </w:rPr>
                          <w:t>序号</w:t>
                        </w:r>
                      </w:p>
                    </w:tc>
                    <w:tc>
                      <w:tcPr>
                        <w:tcW w:w="2131" w:type="dxa"/>
                      </w:tcPr>
                      <w:p>
                        <w:pPr>
                          <w:pStyle w:val="8"/>
                          <w:tabs>
                            <w:tab w:val="left" w:pos="1206"/>
                          </w:tabs>
                          <w:spacing w:before="168"/>
                          <w:ind w:left="644"/>
                          <w:rPr>
                            <w:rFonts w:hint="eastAsia" w:ascii="黑体" w:eastAsia="黑体"/>
                            <w:sz w:val="28"/>
                          </w:rPr>
                        </w:pPr>
                        <w:r>
                          <w:rPr>
                            <w:rFonts w:hint="eastAsia" w:ascii="黑体" w:eastAsia="黑体"/>
                            <w:sz w:val="28"/>
                          </w:rPr>
                          <w:t>项</w:t>
                        </w:r>
                        <w:r>
                          <w:rPr>
                            <w:rFonts w:hint="eastAsia" w:ascii="黑体" w:eastAsia="黑体"/>
                            <w:sz w:val="28"/>
                          </w:rPr>
                          <w:tab/>
                        </w:r>
                        <w:r>
                          <w:rPr>
                            <w:rFonts w:hint="eastAsia" w:ascii="黑体" w:eastAsia="黑体"/>
                            <w:sz w:val="28"/>
                          </w:rPr>
                          <w:t>目</w:t>
                        </w:r>
                      </w:p>
                    </w:tc>
                    <w:tc>
                      <w:tcPr>
                        <w:tcW w:w="2136" w:type="dxa"/>
                      </w:tcPr>
                      <w:p>
                        <w:pPr>
                          <w:pStyle w:val="8"/>
                          <w:tabs>
                            <w:tab w:val="left" w:pos="1209"/>
                          </w:tabs>
                          <w:spacing w:before="168"/>
                          <w:ind w:left="647"/>
                          <w:rPr>
                            <w:rFonts w:hint="eastAsia" w:ascii="黑体" w:eastAsia="黑体"/>
                            <w:sz w:val="28"/>
                          </w:rPr>
                        </w:pPr>
                        <w:r>
                          <w:rPr>
                            <w:rFonts w:hint="eastAsia" w:ascii="黑体" w:eastAsia="黑体"/>
                            <w:sz w:val="28"/>
                          </w:rPr>
                          <w:t>内</w:t>
                        </w:r>
                        <w:r>
                          <w:rPr>
                            <w:rFonts w:hint="eastAsia" w:ascii="黑体" w:eastAsia="黑体"/>
                            <w:sz w:val="28"/>
                          </w:rPr>
                          <w:tab/>
                        </w:r>
                        <w:r>
                          <w:rPr>
                            <w:rFonts w:hint="eastAsia" w:ascii="黑体" w:eastAsia="黑体"/>
                            <w:sz w:val="28"/>
                          </w:rPr>
                          <w:t>容</w:t>
                        </w:r>
                      </w:p>
                    </w:tc>
                    <w:tc>
                      <w:tcPr>
                        <w:tcW w:w="8012" w:type="dxa"/>
                      </w:tcPr>
                      <w:p>
                        <w:pPr>
                          <w:pStyle w:val="8"/>
                          <w:spacing w:before="168"/>
                          <w:ind w:left="3427" w:right="3414"/>
                          <w:jc w:val="center"/>
                          <w:rPr>
                            <w:rFonts w:hint="eastAsia" w:ascii="黑体" w:eastAsia="黑体"/>
                            <w:sz w:val="28"/>
                          </w:rPr>
                        </w:pPr>
                        <w:r>
                          <w:rPr>
                            <w:rFonts w:hint="eastAsia" w:ascii="黑体" w:eastAsia="黑体"/>
                            <w:sz w:val="28"/>
                          </w:rPr>
                          <w:t>具体指标</w:t>
                        </w:r>
                      </w:p>
                    </w:tc>
                    <w:tc>
                      <w:tcPr>
                        <w:tcW w:w="1535" w:type="dxa"/>
                      </w:tcPr>
                      <w:p>
                        <w:pPr>
                          <w:pStyle w:val="8"/>
                          <w:spacing w:before="168"/>
                          <w:ind w:left="486"/>
                          <w:rPr>
                            <w:rFonts w:hint="eastAsia" w:ascii="黑体" w:eastAsia="黑体"/>
                            <w:sz w:val="28"/>
                          </w:rPr>
                        </w:pPr>
                        <w:bookmarkStart w:id="110" w:name="备注"/>
                        <w:bookmarkEnd w:id="110"/>
                        <w:r>
                          <w:rPr>
                            <w:rFonts w:hint="eastAsia" w:ascii="黑体" w:eastAsia="黑体"/>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5"/>
                          <w:rPr>
                            <w:rFonts w:ascii="方正小标宋简体"/>
                            <w:sz w:val="15"/>
                          </w:rPr>
                        </w:pPr>
                      </w:p>
                      <w:p>
                        <w:pPr>
                          <w:pStyle w:val="8"/>
                          <w:ind w:left="8"/>
                          <w:jc w:val="center"/>
                          <w:rPr>
                            <w:sz w:val="24"/>
                          </w:rPr>
                        </w:pPr>
                        <w:bookmarkStart w:id="111" w:name="1"/>
                        <w:bookmarkEnd w:id="111"/>
                        <w:r>
                          <w:rPr>
                            <w:sz w:val="24"/>
                          </w:rPr>
                          <w:t>1</w:t>
                        </w:r>
                      </w:p>
                    </w:tc>
                    <w:tc>
                      <w:tcPr>
                        <w:tcW w:w="4267" w:type="dxa"/>
                        <w:gridSpan w:val="2"/>
                        <w:vMerge w:val="restart"/>
                      </w:tcPr>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spacing w:before="1"/>
                          <w:rPr>
                            <w:rFonts w:ascii="方正小标宋简体"/>
                            <w:sz w:val="13"/>
                          </w:rPr>
                        </w:pPr>
                      </w:p>
                      <w:p>
                        <w:pPr>
                          <w:pStyle w:val="8"/>
                          <w:ind w:left="332"/>
                          <w:rPr>
                            <w:sz w:val="24"/>
                          </w:rPr>
                        </w:pPr>
                        <w:bookmarkStart w:id="112" w:name="3"/>
                        <w:bookmarkEnd w:id="112"/>
                        <w:bookmarkStart w:id="113" w:name="4"/>
                        <w:bookmarkEnd w:id="113"/>
                        <w:bookmarkStart w:id="114" w:name="2"/>
                        <w:bookmarkEnd w:id="114"/>
                        <w:bookmarkStart w:id="115" w:name="沿街商铺“门前三包”不履责整治"/>
                        <w:bookmarkEnd w:id="115"/>
                        <w:bookmarkStart w:id="116" w:name="6"/>
                        <w:bookmarkEnd w:id="116"/>
                        <w:bookmarkStart w:id="117" w:name="5"/>
                        <w:bookmarkEnd w:id="117"/>
                        <w:r>
                          <w:rPr>
                            <w:sz w:val="24"/>
                          </w:rPr>
                          <w:t>沿街商铺“门前三包”不履责整治</w:t>
                        </w:r>
                      </w:p>
                    </w:tc>
                    <w:tc>
                      <w:tcPr>
                        <w:tcW w:w="8012" w:type="dxa"/>
                      </w:tcPr>
                      <w:p>
                        <w:pPr>
                          <w:pStyle w:val="8"/>
                          <w:spacing w:before="3" w:line="398" w:lineRule="exact"/>
                          <w:ind w:left="107" w:right="78"/>
                          <w:rPr>
                            <w:sz w:val="24"/>
                          </w:rPr>
                        </w:pPr>
                        <w:bookmarkStart w:id="118" w:name="门责区域垃圾设施无脏污、破损，无白色污染、暴露垃圾渣土、废弃物、油脂餐余、污水横"/>
                        <w:bookmarkEnd w:id="118"/>
                        <w:r>
                          <w:rPr>
                            <w:sz w:val="24"/>
                          </w:rPr>
                          <w:t>门责区域垃圾设施无脏污、破损，无白色污染、暴露垃圾渣土、废弃物、油脂餐余、污水横流、非法小广告等。</w:t>
                        </w:r>
                      </w:p>
                    </w:tc>
                    <w:tc>
                      <w:tcPr>
                        <w:tcW w:w="1535"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4"/>
                          <w:rPr>
                            <w:rFonts w:ascii="方正小标宋简体"/>
                            <w:sz w:val="15"/>
                          </w:rPr>
                        </w:pPr>
                      </w:p>
                      <w:p>
                        <w:pPr>
                          <w:pStyle w:val="8"/>
                          <w:ind w:left="8"/>
                          <w:jc w:val="center"/>
                          <w:rPr>
                            <w:sz w:val="24"/>
                          </w:rPr>
                        </w:pPr>
                        <w:r>
                          <w:rPr>
                            <w:sz w:val="24"/>
                          </w:rPr>
                          <w:t>2</w:t>
                        </w:r>
                      </w:p>
                    </w:tc>
                    <w:tc>
                      <w:tcPr>
                        <w:tcW w:w="4267" w:type="dxa"/>
                        <w:gridSpan w:val="2"/>
                        <w:vMerge w:val="continue"/>
                        <w:tcBorders>
                          <w:top w:val="nil"/>
                        </w:tcBorders>
                      </w:tcPr>
                      <w:p>
                        <w:pPr>
                          <w:rPr>
                            <w:sz w:val="2"/>
                            <w:szCs w:val="2"/>
                          </w:rPr>
                        </w:pPr>
                      </w:p>
                    </w:tc>
                    <w:tc>
                      <w:tcPr>
                        <w:tcW w:w="8012" w:type="dxa"/>
                      </w:tcPr>
                      <w:p>
                        <w:pPr>
                          <w:pStyle w:val="8"/>
                          <w:spacing w:before="1" w:line="400" w:lineRule="exact"/>
                          <w:ind w:left="107" w:right="-44"/>
                          <w:rPr>
                            <w:sz w:val="24"/>
                          </w:rPr>
                        </w:pPr>
                        <w:bookmarkStart w:id="119" w:name="门责区域无违规广告牌匾（一店多匾、落地式灯箱广告、违规楼顶广告等）、广告牌匾破损"/>
                        <w:bookmarkEnd w:id="119"/>
                        <w:r>
                          <w:rPr>
                            <w:spacing w:val="-5"/>
                            <w:sz w:val="24"/>
                          </w:rPr>
                          <w:t>门责区域无违规广告牌匾</w:t>
                        </w:r>
                        <w:r>
                          <w:rPr>
                            <w:sz w:val="24"/>
                          </w:rPr>
                          <w:t>（</w:t>
                        </w:r>
                        <w:r>
                          <w:rPr>
                            <w:spacing w:val="-10"/>
                            <w:sz w:val="24"/>
                          </w:rPr>
                          <w:t>一店多匾、落地式灯箱广告、违规楼顶广告等</w:t>
                        </w:r>
                        <w:r>
                          <w:rPr>
                            <w:spacing w:val="-120"/>
                            <w:sz w:val="24"/>
                          </w:rPr>
                          <w:t>）</w:t>
                        </w:r>
                        <w:r>
                          <w:rPr>
                            <w:sz w:val="24"/>
                          </w:rPr>
                          <w:t>、广告牌匾破损等。</w:t>
                        </w:r>
                      </w:p>
                    </w:tc>
                    <w:tc>
                      <w:tcPr>
                        <w:tcW w:w="1535"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9" w:hRule="atLeast"/>
                    </w:trPr>
                    <w:tc>
                      <w:tcPr>
                        <w:tcW w:w="926" w:type="dxa"/>
                      </w:tcPr>
                      <w:p>
                        <w:pPr>
                          <w:pStyle w:val="8"/>
                          <w:spacing w:before="14"/>
                          <w:rPr>
                            <w:rFonts w:ascii="方正小标宋简体"/>
                            <w:sz w:val="15"/>
                          </w:rPr>
                        </w:pPr>
                      </w:p>
                      <w:p>
                        <w:pPr>
                          <w:pStyle w:val="8"/>
                          <w:ind w:left="8"/>
                          <w:jc w:val="center"/>
                          <w:rPr>
                            <w:sz w:val="24"/>
                          </w:rPr>
                        </w:pPr>
                        <w:r>
                          <w:rPr>
                            <w:sz w:val="24"/>
                          </w:rPr>
                          <w:t>3</w:t>
                        </w:r>
                      </w:p>
                    </w:tc>
                    <w:tc>
                      <w:tcPr>
                        <w:tcW w:w="4267" w:type="dxa"/>
                        <w:gridSpan w:val="2"/>
                        <w:vMerge w:val="continue"/>
                        <w:tcBorders>
                          <w:top w:val="nil"/>
                        </w:tcBorders>
                      </w:tcPr>
                      <w:p>
                        <w:pPr>
                          <w:rPr>
                            <w:sz w:val="2"/>
                            <w:szCs w:val="2"/>
                          </w:rPr>
                        </w:pPr>
                      </w:p>
                    </w:tc>
                    <w:tc>
                      <w:tcPr>
                        <w:tcW w:w="8012" w:type="dxa"/>
                      </w:tcPr>
                      <w:p>
                        <w:pPr>
                          <w:pStyle w:val="8"/>
                          <w:spacing w:before="2" w:line="398" w:lineRule="exact"/>
                          <w:ind w:left="107" w:right="78"/>
                          <w:rPr>
                            <w:sz w:val="24"/>
                          </w:rPr>
                        </w:pPr>
                        <w:bookmarkStart w:id="120" w:name="门责区域无堆物堆料、店外经营、占道经营、露天烧烤、私搭乱建、违法停车、自行车乱停"/>
                        <w:bookmarkEnd w:id="120"/>
                        <w:r>
                          <w:rPr>
                            <w:sz w:val="24"/>
                          </w:rPr>
                          <w:t>门责区域无堆物堆料、店外经营、占道经营、露天烧烤、私搭乱建、违法停车、自行车乱停放、施工机械车乱停放、僵尸车、私装地锁等。</w:t>
                        </w:r>
                      </w:p>
                    </w:tc>
                    <w:tc>
                      <w:tcPr>
                        <w:tcW w:w="1535"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926" w:type="dxa"/>
                      </w:tcPr>
                      <w:p>
                        <w:pPr>
                          <w:pStyle w:val="8"/>
                          <w:spacing w:before="114"/>
                          <w:ind w:left="8"/>
                          <w:jc w:val="center"/>
                          <w:rPr>
                            <w:sz w:val="24"/>
                          </w:rPr>
                        </w:pPr>
                        <w:r>
                          <w:rPr>
                            <w:sz w:val="24"/>
                          </w:rPr>
                          <w:t>4</w:t>
                        </w:r>
                      </w:p>
                    </w:tc>
                    <w:tc>
                      <w:tcPr>
                        <w:tcW w:w="4267" w:type="dxa"/>
                        <w:gridSpan w:val="2"/>
                        <w:vMerge w:val="continue"/>
                        <w:tcBorders>
                          <w:top w:val="nil"/>
                        </w:tcBorders>
                      </w:tcPr>
                      <w:p>
                        <w:pPr>
                          <w:rPr>
                            <w:sz w:val="2"/>
                            <w:szCs w:val="2"/>
                          </w:rPr>
                        </w:pPr>
                      </w:p>
                    </w:tc>
                    <w:tc>
                      <w:tcPr>
                        <w:tcW w:w="8012" w:type="dxa"/>
                      </w:tcPr>
                      <w:p>
                        <w:pPr>
                          <w:pStyle w:val="8"/>
                          <w:spacing w:before="81"/>
                          <w:ind w:left="107"/>
                          <w:rPr>
                            <w:sz w:val="24"/>
                          </w:rPr>
                        </w:pPr>
                        <w:bookmarkStart w:id="121" w:name="门责区域无侵占破坏绿化及设施，树木上无拴、钉、刻、划现象等。"/>
                        <w:bookmarkEnd w:id="121"/>
                        <w:r>
                          <w:rPr>
                            <w:sz w:val="24"/>
                          </w:rPr>
                          <w:t>门责区域无侵占破坏绿化及设施，树木上无拴、钉、刻、划现象等。</w:t>
                        </w:r>
                      </w:p>
                    </w:tc>
                    <w:tc>
                      <w:tcPr>
                        <w:tcW w:w="1535"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6" w:hRule="atLeast"/>
                    </w:trPr>
                    <w:tc>
                      <w:tcPr>
                        <w:tcW w:w="926" w:type="dxa"/>
                      </w:tcPr>
                      <w:p>
                        <w:pPr>
                          <w:pStyle w:val="8"/>
                          <w:spacing w:before="110"/>
                          <w:ind w:left="8"/>
                          <w:jc w:val="center"/>
                          <w:rPr>
                            <w:sz w:val="24"/>
                          </w:rPr>
                        </w:pPr>
                        <w:r>
                          <w:rPr>
                            <w:sz w:val="24"/>
                          </w:rPr>
                          <w:t>5</w:t>
                        </w:r>
                      </w:p>
                    </w:tc>
                    <w:tc>
                      <w:tcPr>
                        <w:tcW w:w="4267" w:type="dxa"/>
                        <w:gridSpan w:val="2"/>
                        <w:vMerge w:val="continue"/>
                        <w:tcBorders>
                          <w:top w:val="nil"/>
                        </w:tcBorders>
                      </w:tcPr>
                      <w:p>
                        <w:pPr>
                          <w:rPr>
                            <w:sz w:val="2"/>
                            <w:szCs w:val="2"/>
                          </w:rPr>
                        </w:pPr>
                      </w:p>
                    </w:tc>
                    <w:tc>
                      <w:tcPr>
                        <w:tcW w:w="8012" w:type="dxa"/>
                      </w:tcPr>
                      <w:p>
                        <w:pPr>
                          <w:pStyle w:val="8"/>
                          <w:spacing w:before="81"/>
                          <w:ind w:left="107"/>
                          <w:rPr>
                            <w:sz w:val="24"/>
                          </w:rPr>
                        </w:pPr>
                        <w:bookmarkStart w:id="122" w:name="门责区域无路面破损、积水结冰、外立面脏污破损等。"/>
                        <w:bookmarkEnd w:id="122"/>
                        <w:r>
                          <w:rPr>
                            <w:sz w:val="24"/>
                          </w:rPr>
                          <w:t>门责区域无路面破损、积水结冰、外立面脏污破损等。</w:t>
                        </w:r>
                      </w:p>
                    </w:tc>
                    <w:tc>
                      <w:tcPr>
                        <w:tcW w:w="1535"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26" w:type="dxa"/>
                      </w:tcPr>
                      <w:p>
                        <w:pPr>
                          <w:pStyle w:val="8"/>
                          <w:spacing w:before="107"/>
                          <w:ind w:left="8"/>
                          <w:jc w:val="center"/>
                          <w:rPr>
                            <w:sz w:val="24"/>
                          </w:rPr>
                        </w:pPr>
                        <w:r>
                          <w:rPr>
                            <w:sz w:val="24"/>
                          </w:rPr>
                          <w:t>6</w:t>
                        </w:r>
                      </w:p>
                    </w:tc>
                    <w:tc>
                      <w:tcPr>
                        <w:tcW w:w="4267" w:type="dxa"/>
                        <w:gridSpan w:val="2"/>
                        <w:vMerge w:val="continue"/>
                        <w:tcBorders>
                          <w:top w:val="nil"/>
                        </w:tcBorders>
                      </w:tcPr>
                      <w:p>
                        <w:pPr>
                          <w:rPr>
                            <w:sz w:val="2"/>
                            <w:szCs w:val="2"/>
                          </w:rPr>
                        </w:pPr>
                      </w:p>
                    </w:tc>
                    <w:tc>
                      <w:tcPr>
                        <w:tcW w:w="8012" w:type="dxa"/>
                      </w:tcPr>
                      <w:p>
                        <w:pPr>
                          <w:pStyle w:val="8"/>
                          <w:spacing w:before="81"/>
                          <w:ind w:left="107"/>
                          <w:rPr>
                            <w:sz w:val="24"/>
                          </w:rPr>
                        </w:pPr>
                        <w:bookmarkStart w:id="123" w:name="工地门前周边环境卫生较好，苫盖围挡等措施设施无缺失、破损等。"/>
                        <w:bookmarkEnd w:id="123"/>
                        <w:r>
                          <w:rPr>
                            <w:sz w:val="24"/>
                          </w:rPr>
                          <w:t>工地门前周边环境卫生较好，苫盖围挡等措施设施无缺失、破损等。</w:t>
                        </w:r>
                      </w:p>
                    </w:tc>
                    <w:tc>
                      <w:tcPr>
                        <w:tcW w:w="1535"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926" w:type="dxa"/>
                      </w:tcPr>
                      <w:p>
                        <w:pPr>
                          <w:pStyle w:val="8"/>
                          <w:spacing w:before="2"/>
                          <w:rPr>
                            <w:rFonts w:ascii="方正小标宋简体"/>
                            <w:sz w:val="27"/>
                          </w:rPr>
                        </w:pPr>
                      </w:p>
                      <w:p>
                        <w:pPr>
                          <w:pStyle w:val="8"/>
                          <w:ind w:left="8"/>
                          <w:jc w:val="center"/>
                          <w:rPr>
                            <w:sz w:val="24"/>
                          </w:rPr>
                        </w:pPr>
                        <w:bookmarkStart w:id="124" w:name="7"/>
                        <w:bookmarkEnd w:id="124"/>
                        <w:r>
                          <w:rPr>
                            <w:sz w:val="24"/>
                          </w:rPr>
                          <w:t>7</w:t>
                        </w:r>
                      </w:p>
                    </w:tc>
                    <w:tc>
                      <w:tcPr>
                        <w:tcW w:w="4267" w:type="dxa"/>
                        <w:gridSpan w:val="2"/>
                        <w:vMerge w:val="continue"/>
                        <w:tcBorders>
                          <w:top w:val="nil"/>
                        </w:tcBorders>
                      </w:tcPr>
                      <w:p>
                        <w:pPr>
                          <w:rPr>
                            <w:sz w:val="2"/>
                            <w:szCs w:val="2"/>
                          </w:rPr>
                        </w:pPr>
                      </w:p>
                    </w:tc>
                    <w:tc>
                      <w:tcPr>
                        <w:tcW w:w="8012" w:type="dxa"/>
                      </w:tcPr>
                      <w:p>
                        <w:pPr>
                          <w:pStyle w:val="8"/>
                          <w:spacing w:before="81" w:line="312" w:lineRule="auto"/>
                          <w:ind w:left="107" w:right="78"/>
                          <w:rPr>
                            <w:sz w:val="24"/>
                          </w:rPr>
                        </w:pPr>
                        <w:bookmarkStart w:id="125" w:name="无“开墙打洞”（判定标准：重复破坏屋体，损毁已封堵房屋周边护栏、绿地及其他公共设"/>
                        <w:bookmarkEnd w:id="125"/>
                        <w:r>
                          <w:rPr>
                            <w:sz w:val="24"/>
                          </w:rPr>
                          <w:t>无“开墙打洞”（判定标准：重复破坏屋体，损毁已封堵房屋周边护栏、绿地及其他公共设施，重新设置经营牌匾或经营标语，设置为从事经营活</w:t>
                        </w:r>
                      </w:p>
                      <w:p>
                        <w:pPr>
                          <w:pStyle w:val="8"/>
                          <w:spacing w:line="299" w:lineRule="exact"/>
                          <w:ind w:left="107"/>
                          <w:rPr>
                            <w:sz w:val="24"/>
                          </w:rPr>
                        </w:pPr>
                        <w:r>
                          <w:rPr>
                            <w:sz w:val="24"/>
                          </w:rPr>
                          <w:t>动提供便利条件的房屋外辅助设施，再次出现实体经营）。</w:t>
                        </w:r>
                      </w:p>
                    </w:tc>
                    <w:tc>
                      <w:tcPr>
                        <w:tcW w:w="1535"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7" w:hRule="atLeast"/>
                    </w:trPr>
                    <w:tc>
                      <w:tcPr>
                        <w:tcW w:w="926" w:type="dxa"/>
                      </w:tcPr>
                      <w:p>
                        <w:pPr>
                          <w:pStyle w:val="8"/>
                          <w:rPr>
                            <w:rFonts w:ascii="方正小标宋简体"/>
                            <w:sz w:val="24"/>
                          </w:rPr>
                        </w:pPr>
                      </w:p>
                      <w:p>
                        <w:pPr>
                          <w:pStyle w:val="8"/>
                          <w:spacing w:before="8"/>
                          <w:rPr>
                            <w:rFonts w:ascii="方正小标宋简体"/>
                            <w:sz w:val="14"/>
                          </w:rPr>
                        </w:pPr>
                      </w:p>
                      <w:p>
                        <w:pPr>
                          <w:pStyle w:val="8"/>
                          <w:ind w:left="8"/>
                          <w:jc w:val="center"/>
                          <w:rPr>
                            <w:sz w:val="24"/>
                          </w:rPr>
                        </w:pPr>
                        <w:bookmarkStart w:id="126" w:name="8"/>
                        <w:bookmarkEnd w:id="126"/>
                        <w:r>
                          <w:rPr>
                            <w:sz w:val="24"/>
                          </w:rPr>
                          <w:t>8</w:t>
                        </w:r>
                      </w:p>
                    </w:tc>
                    <w:tc>
                      <w:tcPr>
                        <w:tcW w:w="4267" w:type="dxa"/>
                        <w:gridSpan w:val="2"/>
                        <w:vMerge w:val="continue"/>
                        <w:tcBorders>
                          <w:top w:val="nil"/>
                        </w:tcBorders>
                      </w:tcPr>
                      <w:p>
                        <w:pPr>
                          <w:rPr>
                            <w:sz w:val="2"/>
                            <w:szCs w:val="2"/>
                          </w:rPr>
                        </w:pPr>
                      </w:p>
                    </w:tc>
                    <w:tc>
                      <w:tcPr>
                        <w:tcW w:w="8012" w:type="dxa"/>
                      </w:tcPr>
                      <w:p>
                        <w:pPr>
                          <w:pStyle w:val="8"/>
                          <w:spacing w:before="81"/>
                          <w:ind w:left="107"/>
                          <w:rPr>
                            <w:sz w:val="24"/>
                          </w:rPr>
                        </w:pPr>
                        <w:bookmarkStart w:id="127" w:name="签订门前三包责任制；落实门前三包管理巡查（每月至少巡查1次并做记录，即与上次巡查"/>
                        <w:bookmarkEnd w:id="127"/>
                        <w:r>
                          <w:rPr>
                            <w:sz w:val="24"/>
                          </w:rPr>
                          <w:t>签订门前三包责任制；落实门前三包管理巡查</w:t>
                        </w:r>
                        <w:r>
                          <w:rPr>
                            <w:spacing w:val="4"/>
                            <w:sz w:val="24"/>
                          </w:rPr>
                          <w:t>（</w:t>
                        </w:r>
                        <w:r>
                          <w:rPr>
                            <w:spacing w:val="-7"/>
                            <w:sz w:val="24"/>
                          </w:rPr>
                          <w:t xml:space="preserve">每月至少巡查 </w:t>
                        </w:r>
                        <w:r>
                          <w:rPr>
                            <w:sz w:val="24"/>
                          </w:rPr>
                          <w:t>1</w:t>
                        </w:r>
                        <w:r>
                          <w:rPr>
                            <w:spacing w:val="-10"/>
                            <w:sz w:val="24"/>
                          </w:rPr>
                          <w:t xml:space="preserve"> 次并做记</w:t>
                        </w:r>
                      </w:p>
                      <w:p>
                        <w:pPr>
                          <w:pStyle w:val="8"/>
                          <w:spacing w:before="93" w:line="312" w:lineRule="auto"/>
                          <w:ind w:left="107" w:right="78"/>
                          <w:rPr>
                            <w:sz w:val="24"/>
                          </w:rPr>
                        </w:pPr>
                        <w:r>
                          <w:rPr>
                            <w:spacing w:val="-4"/>
                            <w:sz w:val="24"/>
                          </w:rPr>
                          <w:t xml:space="preserve">录，即与上次巡查间隔时间小于 </w:t>
                        </w:r>
                        <w:r>
                          <w:rPr>
                            <w:sz w:val="24"/>
                          </w:rPr>
                          <w:t>1</w:t>
                        </w:r>
                        <w:r>
                          <w:rPr>
                            <w:spacing w:val="-15"/>
                            <w:sz w:val="24"/>
                          </w:rPr>
                          <w:t xml:space="preserve"> 个月</w:t>
                        </w:r>
                        <w:r>
                          <w:rPr>
                            <w:spacing w:val="3"/>
                            <w:sz w:val="24"/>
                          </w:rPr>
                          <w:t>）</w:t>
                        </w:r>
                        <w:r>
                          <w:rPr>
                            <w:spacing w:val="2"/>
                            <w:sz w:val="24"/>
                          </w:rPr>
                          <w:t>；无无证照经营现象</w:t>
                        </w:r>
                        <w:r>
                          <w:rPr>
                            <w:sz w:val="24"/>
                          </w:rPr>
                          <w:t>（</w:t>
                        </w:r>
                        <w:r>
                          <w:rPr>
                            <w:spacing w:val="3"/>
                            <w:sz w:val="24"/>
                          </w:rPr>
                          <w:t>属地政府</w:t>
                        </w:r>
                        <w:r>
                          <w:rPr>
                            <w:spacing w:val="1"/>
                            <w:sz w:val="24"/>
                          </w:rPr>
                          <w:t>已明确列入拆迁计划的除外</w:t>
                        </w:r>
                        <w:r>
                          <w:rPr>
                            <w:sz w:val="24"/>
                          </w:rPr>
                          <w:t>）。现场检查时，如出现集体关门现象按无证</w:t>
                        </w:r>
                      </w:p>
                      <w:p>
                        <w:pPr>
                          <w:pStyle w:val="8"/>
                          <w:spacing w:line="297" w:lineRule="exact"/>
                          <w:ind w:left="107"/>
                          <w:rPr>
                            <w:sz w:val="24"/>
                          </w:rPr>
                        </w:pPr>
                        <w:r>
                          <w:rPr>
                            <w:sz w:val="24"/>
                          </w:rPr>
                          <w:t>照经营、未签门前三包责任制处理。</w:t>
                        </w:r>
                      </w:p>
                    </w:tc>
                    <w:tc>
                      <w:tcPr>
                        <w:tcW w:w="1535" w:type="dxa"/>
                      </w:tcPr>
                      <w:p>
                        <w:pPr>
                          <w:pStyle w:val="8"/>
                          <w:rPr>
                            <w:rFonts w:ascii="Times New Roman"/>
                            <w:sz w:val="26"/>
                          </w:rPr>
                        </w:pPr>
                      </w:p>
                    </w:tc>
                  </w:tr>
                </w:tbl>
                <w:p>
                  <w:pPr>
                    <w:pStyle w:val="3"/>
                  </w:pPr>
                </w:p>
              </w:txbxContent>
            </v:textbox>
          </v:shape>
        </w:pict>
      </w:r>
      <w:r>
        <w:rPr>
          <w:rFonts w:hint="eastAsia" w:ascii="黑体" w:eastAsia="黑体"/>
          <w:spacing w:val="-28"/>
        </w:rPr>
        <w:t xml:space="preserve">附件 </w:t>
      </w:r>
      <w:r>
        <w:rPr>
          <w:rFonts w:hint="eastAsia" w:ascii="黑体" w:eastAsia="黑体"/>
        </w:rPr>
        <w:t>1</w:t>
      </w:r>
    </w:p>
    <w:p>
      <w:pPr>
        <w:pStyle w:val="2"/>
        <w:spacing w:before="424"/>
        <w:ind w:right="0"/>
        <w:jc w:val="left"/>
      </w:pPr>
      <w:r>
        <w:br w:type="column"/>
      </w:r>
      <w:bookmarkStart w:id="15" w:name="内  容"/>
      <w:bookmarkEnd w:id="15"/>
      <w:bookmarkStart w:id="16" w:name="项  目"/>
      <w:bookmarkEnd w:id="16"/>
      <w:bookmarkStart w:id="17" w:name="序号"/>
      <w:bookmarkEnd w:id="17"/>
      <w:r>
        <w:t>检查验收指标细则</w:t>
      </w:r>
    </w:p>
    <w:p>
      <w:pPr>
        <w:spacing w:after="0"/>
        <w:jc w:val="left"/>
        <w:sectPr>
          <w:type w:val="continuous"/>
          <w:pgSz w:w="16840" w:h="11910" w:orient="landscape"/>
          <w:pgMar w:top="1580" w:right="780" w:bottom="280" w:left="880" w:header="720" w:footer="720" w:gutter="0"/>
          <w:cols w:equalWidth="0" w:num="2">
            <w:col w:w="2025" w:space="2593"/>
            <w:col w:w="10562"/>
          </w:cols>
        </w:sectPr>
      </w:pPr>
    </w:p>
    <w:p>
      <w:pPr>
        <w:pStyle w:val="3"/>
        <w:rPr>
          <w:rFonts w:ascii="方正小标宋简体"/>
          <w:sz w:val="20"/>
        </w:rPr>
      </w:pPr>
      <w:r>
        <w:pict>
          <v:shape id="_x0000_s1045" o:spid="_x0000_s1045" o:spt="136" type="#_x0000_t136" style="position:absolute;left:0pt;margin-left:137.4pt;margin-top:278.1pt;height:48pt;width:576pt;mso-position-horizontal-relative:page;mso-position-vertical-relative:page;rotation:20643840f;z-index:-253131776;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rFonts w:ascii="方正小标宋简体"/>
          <w:sz w:val="20"/>
        </w:rPr>
      </w:pPr>
    </w:p>
    <w:p>
      <w:pPr>
        <w:pStyle w:val="3"/>
        <w:rPr>
          <w:rFonts w:ascii="方正小标宋简体"/>
          <w:sz w:val="20"/>
        </w:rPr>
      </w:pPr>
    </w:p>
    <w:p>
      <w:pPr>
        <w:pStyle w:val="3"/>
        <w:spacing w:before="6"/>
        <w:rPr>
          <w:rFonts w:ascii="方正小标宋简体"/>
          <w:sz w:val="29"/>
        </w:rPr>
      </w:pPr>
    </w:p>
    <w:tbl>
      <w:tblPr>
        <w:tblStyle w:val="4"/>
        <w:tblW w:w="1474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131"/>
        <w:gridCol w:w="2136"/>
        <w:gridCol w:w="8012"/>
        <w:gridCol w:w="1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926" w:type="dxa"/>
          </w:tcPr>
          <w:p>
            <w:pPr>
              <w:pStyle w:val="8"/>
              <w:spacing w:before="169"/>
              <w:ind w:left="164" w:right="151"/>
              <w:jc w:val="center"/>
              <w:rPr>
                <w:rFonts w:hint="eastAsia" w:ascii="黑体" w:eastAsia="黑体"/>
                <w:sz w:val="28"/>
              </w:rPr>
            </w:pPr>
            <w:bookmarkStart w:id="18" w:name="序号"/>
            <w:bookmarkEnd w:id="18"/>
            <w:r>
              <w:rPr>
                <w:rFonts w:hint="eastAsia" w:ascii="黑体" w:eastAsia="黑体"/>
                <w:sz w:val="28"/>
              </w:rPr>
              <w:t>序号</w:t>
            </w:r>
          </w:p>
        </w:tc>
        <w:tc>
          <w:tcPr>
            <w:tcW w:w="2131" w:type="dxa"/>
          </w:tcPr>
          <w:p>
            <w:pPr>
              <w:pStyle w:val="8"/>
              <w:tabs>
                <w:tab w:val="left" w:pos="1206"/>
              </w:tabs>
              <w:spacing w:before="169"/>
              <w:ind w:left="644"/>
              <w:rPr>
                <w:rFonts w:hint="eastAsia" w:ascii="黑体" w:eastAsia="黑体"/>
                <w:sz w:val="28"/>
              </w:rPr>
            </w:pPr>
            <w:bookmarkStart w:id="19" w:name="项  目"/>
            <w:bookmarkEnd w:id="19"/>
            <w:r>
              <w:rPr>
                <w:rFonts w:hint="eastAsia" w:ascii="黑体" w:eastAsia="黑体"/>
                <w:sz w:val="28"/>
              </w:rPr>
              <w:t>项</w:t>
            </w:r>
            <w:r>
              <w:rPr>
                <w:rFonts w:hint="eastAsia" w:ascii="黑体" w:eastAsia="黑体"/>
                <w:sz w:val="28"/>
              </w:rPr>
              <w:tab/>
            </w:r>
            <w:r>
              <w:rPr>
                <w:rFonts w:hint="eastAsia" w:ascii="黑体" w:eastAsia="黑体"/>
                <w:sz w:val="28"/>
              </w:rPr>
              <w:t>目</w:t>
            </w:r>
          </w:p>
        </w:tc>
        <w:tc>
          <w:tcPr>
            <w:tcW w:w="2136" w:type="dxa"/>
          </w:tcPr>
          <w:p>
            <w:pPr>
              <w:pStyle w:val="8"/>
              <w:tabs>
                <w:tab w:val="left" w:pos="1209"/>
              </w:tabs>
              <w:spacing w:before="169"/>
              <w:ind w:left="647"/>
              <w:rPr>
                <w:rFonts w:hint="eastAsia" w:ascii="黑体" w:eastAsia="黑体"/>
                <w:sz w:val="28"/>
              </w:rPr>
            </w:pPr>
            <w:bookmarkStart w:id="20" w:name="内  容"/>
            <w:bookmarkEnd w:id="20"/>
            <w:r>
              <w:rPr>
                <w:rFonts w:hint="eastAsia" w:ascii="黑体" w:eastAsia="黑体"/>
                <w:sz w:val="28"/>
              </w:rPr>
              <w:t>内</w:t>
            </w:r>
            <w:r>
              <w:rPr>
                <w:rFonts w:hint="eastAsia" w:ascii="黑体" w:eastAsia="黑体"/>
                <w:sz w:val="28"/>
              </w:rPr>
              <w:tab/>
            </w:r>
            <w:r>
              <w:rPr>
                <w:rFonts w:hint="eastAsia" w:ascii="黑体" w:eastAsia="黑体"/>
                <w:sz w:val="28"/>
              </w:rPr>
              <w:t>容</w:t>
            </w:r>
          </w:p>
        </w:tc>
        <w:tc>
          <w:tcPr>
            <w:tcW w:w="8012" w:type="dxa"/>
          </w:tcPr>
          <w:p>
            <w:pPr>
              <w:pStyle w:val="8"/>
              <w:spacing w:before="169"/>
              <w:ind w:left="3427" w:right="3414"/>
              <w:jc w:val="center"/>
              <w:rPr>
                <w:rFonts w:hint="eastAsia" w:ascii="黑体" w:eastAsia="黑体"/>
                <w:sz w:val="28"/>
              </w:rPr>
            </w:pPr>
            <w:bookmarkStart w:id="21" w:name="具体指标"/>
            <w:bookmarkEnd w:id="21"/>
            <w:r>
              <w:rPr>
                <w:rFonts w:hint="eastAsia" w:ascii="黑体" w:eastAsia="黑体"/>
                <w:sz w:val="28"/>
              </w:rPr>
              <w:t>具体指标</w:t>
            </w:r>
          </w:p>
        </w:tc>
        <w:tc>
          <w:tcPr>
            <w:tcW w:w="1535" w:type="dxa"/>
          </w:tcPr>
          <w:p>
            <w:pPr>
              <w:pStyle w:val="8"/>
              <w:spacing w:before="169"/>
              <w:ind w:left="486"/>
              <w:rPr>
                <w:rFonts w:hint="eastAsia" w:ascii="黑体" w:eastAsia="黑体"/>
                <w:sz w:val="28"/>
              </w:rPr>
            </w:pPr>
            <w:bookmarkStart w:id="22" w:name="备注"/>
            <w:bookmarkEnd w:id="22"/>
            <w:r>
              <w:rPr>
                <w:rFonts w:hint="eastAsia" w:ascii="黑体" w:eastAsia="黑体"/>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1" w:hRule="atLeast"/>
        </w:trPr>
        <w:tc>
          <w:tcPr>
            <w:tcW w:w="926" w:type="dxa"/>
          </w:tcPr>
          <w:p>
            <w:pPr>
              <w:pStyle w:val="8"/>
              <w:spacing w:before="87" w:line="304" w:lineRule="exact"/>
              <w:ind w:left="8"/>
              <w:jc w:val="center"/>
              <w:rPr>
                <w:sz w:val="24"/>
              </w:rPr>
            </w:pPr>
            <w:bookmarkStart w:id="23" w:name="9"/>
            <w:bookmarkEnd w:id="23"/>
            <w:r>
              <w:rPr>
                <w:sz w:val="24"/>
              </w:rPr>
              <w:t>9</w:t>
            </w:r>
          </w:p>
        </w:tc>
        <w:tc>
          <w:tcPr>
            <w:tcW w:w="2131" w:type="dxa"/>
            <w:vMerge w:val="restart"/>
          </w:tcPr>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spacing w:before="11"/>
              <w:rPr>
                <w:rFonts w:ascii="方正小标宋简体"/>
                <w:sz w:val="30"/>
              </w:rPr>
            </w:pPr>
          </w:p>
          <w:p>
            <w:pPr>
              <w:pStyle w:val="8"/>
              <w:spacing w:line="312" w:lineRule="auto"/>
              <w:ind w:left="344" w:right="54" w:hanging="236"/>
              <w:rPr>
                <w:sz w:val="24"/>
              </w:rPr>
            </w:pPr>
            <w:bookmarkStart w:id="24" w:name="居住小区“十大环境问题”整治"/>
            <w:bookmarkEnd w:id="24"/>
            <w:bookmarkStart w:id="25" w:name="10"/>
            <w:bookmarkEnd w:id="25"/>
            <w:bookmarkStart w:id="26" w:name="11"/>
            <w:bookmarkEnd w:id="26"/>
            <w:bookmarkStart w:id="27" w:name="12"/>
            <w:bookmarkEnd w:id="27"/>
            <w:bookmarkStart w:id="28" w:name="13"/>
            <w:bookmarkEnd w:id="28"/>
            <w:bookmarkStart w:id="29" w:name="14"/>
            <w:bookmarkEnd w:id="29"/>
            <w:r>
              <w:rPr>
                <w:sz w:val="24"/>
              </w:rPr>
              <w:t>居住小区“十大环境问题”整治</w:t>
            </w:r>
          </w:p>
        </w:tc>
        <w:tc>
          <w:tcPr>
            <w:tcW w:w="2136" w:type="dxa"/>
            <w:vMerge w:val="restart"/>
          </w:tcPr>
          <w:p>
            <w:pPr>
              <w:pStyle w:val="8"/>
              <w:rPr>
                <w:rFonts w:ascii="方正小标宋简体"/>
                <w:sz w:val="24"/>
              </w:rPr>
            </w:pPr>
          </w:p>
          <w:p>
            <w:pPr>
              <w:pStyle w:val="8"/>
              <w:spacing w:before="7"/>
              <w:rPr>
                <w:rFonts w:ascii="方正小标宋简体"/>
                <w:sz w:val="20"/>
              </w:rPr>
            </w:pPr>
          </w:p>
          <w:p>
            <w:pPr>
              <w:pStyle w:val="8"/>
              <w:spacing w:line="312" w:lineRule="auto"/>
              <w:ind w:left="227" w:right="214"/>
              <w:jc w:val="center"/>
              <w:rPr>
                <w:sz w:val="24"/>
              </w:rPr>
            </w:pPr>
            <w:bookmarkStart w:id="30" w:name="居民生活垃圾分类行为不规范整治行动"/>
            <w:bookmarkEnd w:id="30"/>
            <w:r>
              <w:rPr>
                <w:sz w:val="24"/>
              </w:rPr>
              <w:t>居民生活垃圾分类行为不规范整治行动</w:t>
            </w:r>
          </w:p>
        </w:tc>
        <w:tc>
          <w:tcPr>
            <w:tcW w:w="8012" w:type="dxa"/>
          </w:tcPr>
          <w:p>
            <w:pPr>
              <w:pStyle w:val="8"/>
              <w:spacing w:before="80"/>
              <w:ind w:left="107"/>
              <w:rPr>
                <w:sz w:val="24"/>
              </w:rPr>
            </w:pPr>
            <w:bookmarkStart w:id="31" w:name="持续开展宣传动员工作，建设“普法监督员”队伍。"/>
            <w:bookmarkEnd w:id="31"/>
            <w:r>
              <w:rPr>
                <w:sz w:val="24"/>
              </w:rPr>
              <w:t>持续开展宣传动员工作，建设“普法监督员”队伍。</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4"/>
              <w:rPr>
                <w:rFonts w:ascii="方正小标宋简体"/>
                <w:sz w:val="15"/>
              </w:rPr>
            </w:pPr>
          </w:p>
          <w:p>
            <w:pPr>
              <w:pStyle w:val="8"/>
              <w:ind w:left="159" w:right="151"/>
              <w:jc w:val="center"/>
              <w:rPr>
                <w:sz w:val="24"/>
              </w:rPr>
            </w:pPr>
            <w:r>
              <w:rPr>
                <w:sz w:val="24"/>
              </w:rPr>
              <w:t>10</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1" w:line="400" w:lineRule="exact"/>
              <w:ind w:left="107" w:right="78"/>
              <w:rPr>
                <w:sz w:val="24"/>
              </w:rPr>
            </w:pPr>
            <w:bookmarkStart w:id="32" w:name="掌握各小区居民自主分类投放准确率，并建立台账，针对分类薄弱、长期不分类的家庭（租"/>
            <w:bookmarkEnd w:id="32"/>
            <w:r>
              <w:rPr>
                <w:sz w:val="24"/>
              </w:rPr>
              <w:t>掌握各小区居民自主分类投放准确率，并建立台账，针对分类薄弱、长期不分类的家庭（租户），开展精准入户宣传。</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926" w:type="dxa"/>
          </w:tcPr>
          <w:p>
            <w:pPr>
              <w:pStyle w:val="8"/>
              <w:spacing w:before="107"/>
              <w:ind w:left="159" w:right="151"/>
              <w:jc w:val="center"/>
              <w:rPr>
                <w:sz w:val="24"/>
              </w:rPr>
            </w:pPr>
            <w:r>
              <w:rPr>
                <w:sz w:val="24"/>
              </w:rPr>
              <w:t>11</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81"/>
              <w:ind w:left="107"/>
              <w:rPr>
                <w:sz w:val="24"/>
              </w:rPr>
            </w:pPr>
            <w:bookmarkStart w:id="33" w:name="房东与租户签订生活垃圾分类承诺书。"/>
            <w:bookmarkEnd w:id="33"/>
            <w:r>
              <w:rPr>
                <w:sz w:val="24"/>
              </w:rPr>
              <w:t>房东与租户签订生活垃圾分类承诺书。</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5" w:hRule="atLeast"/>
        </w:trPr>
        <w:tc>
          <w:tcPr>
            <w:tcW w:w="926" w:type="dxa"/>
          </w:tcPr>
          <w:p>
            <w:pPr>
              <w:pStyle w:val="8"/>
              <w:rPr>
                <w:rFonts w:ascii="方正小标宋简体"/>
                <w:sz w:val="19"/>
              </w:rPr>
            </w:pPr>
          </w:p>
          <w:p>
            <w:pPr>
              <w:pStyle w:val="8"/>
              <w:spacing w:before="1"/>
              <w:ind w:left="159" w:right="151"/>
              <w:jc w:val="center"/>
              <w:rPr>
                <w:sz w:val="24"/>
              </w:rPr>
            </w:pPr>
            <w:r>
              <w:rPr>
                <w:sz w:val="24"/>
              </w:rPr>
              <w:t>12</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80" w:line="312" w:lineRule="auto"/>
              <w:ind w:left="107" w:right="-29"/>
              <w:rPr>
                <w:sz w:val="24"/>
              </w:rPr>
            </w:pPr>
            <w:bookmarkStart w:id="34" w:name="对小区乱扔乱倒生活垃圾个人违法行为，通过推进“城管执法进社区”、扩大“技防”覆盖"/>
            <w:bookmarkEnd w:id="34"/>
            <w:r>
              <w:rPr>
                <w:sz w:val="24"/>
              </w:rPr>
              <w:t>对小区乱扔乱倒生活垃圾个人违法行为，通过推进“城管执法进社区”、</w:t>
            </w:r>
            <w:r>
              <w:rPr>
                <w:spacing w:val="-3"/>
                <w:sz w:val="24"/>
              </w:rPr>
              <w:t>扩大“技防”覆盖面等方式实现动态监管，并进行现场教育、警告、处罚。</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5"/>
              <w:rPr>
                <w:rFonts w:ascii="方正小标宋简体"/>
                <w:sz w:val="15"/>
              </w:rPr>
            </w:pPr>
          </w:p>
          <w:p>
            <w:pPr>
              <w:pStyle w:val="8"/>
              <w:ind w:left="159" w:right="151"/>
              <w:jc w:val="center"/>
              <w:rPr>
                <w:sz w:val="24"/>
              </w:rPr>
            </w:pPr>
            <w:r>
              <w:rPr>
                <w:sz w:val="24"/>
              </w:rPr>
              <w:t>13</w:t>
            </w:r>
          </w:p>
        </w:tc>
        <w:tc>
          <w:tcPr>
            <w:tcW w:w="2131" w:type="dxa"/>
            <w:vMerge w:val="continue"/>
            <w:tcBorders>
              <w:top w:val="nil"/>
            </w:tcBorders>
          </w:tcPr>
          <w:p>
            <w:pPr>
              <w:rPr>
                <w:sz w:val="2"/>
                <w:szCs w:val="2"/>
              </w:rPr>
            </w:pPr>
          </w:p>
        </w:tc>
        <w:tc>
          <w:tcPr>
            <w:tcW w:w="2136" w:type="dxa"/>
            <w:vMerge w:val="restart"/>
          </w:tcPr>
          <w:p>
            <w:pPr>
              <w:pStyle w:val="8"/>
              <w:rPr>
                <w:rFonts w:ascii="方正小标宋简体"/>
                <w:sz w:val="24"/>
              </w:rPr>
            </w:pPr>
          </w:p>
          <w:p>
            <w:pPr>
              <w:pStyle w:val="8"/>
              <w:spacing w:before="4"/>
              <w:rPr>
                <w:rFonts w:ascii="方正小标宋简体"/>
                <w:sz w:val="27"/>
              </w:rPr>
            </w:pPr>
          </w:p>
          <w:p>
            <w:pPr>
              <w:pStyle w:val="8"/>
              <w:spacing w:before="1" w:line="312" w:lineRule="auto"/>
              <w:ind w:left="227" w:right="214"/>
              <w:jc w:val="center"/>
              <w:rPr>
                <w:sz w:val="24"/>
              </w:rPr>
            </w:pPr>
            <w:bookmarkStart w:id="35" w:name="小区卫生死角和楼道堆积废弃物整治行动"/>
            <w:bookmarkEnd w:id="35"/>
            <w:r>
              <w:rPr>
                <w:sz w:val="24"/>
              </w:rPr>
              <w:t>小区卫生死角和楼道堆积废弃物</w:t>
            </w:r>
            <w:bookmarkStart w:id="36" w:name="15"/>
            <w:bookmarkEnd w:id="36"/>
            <w:r>
              <w:rPr>
                <w:sz w:val="24"/>
              </w:rPr>
              <w:t>整治行动</w:t>
            </w:r>
          </w:p>
        </w:tc>
        <w:tc>
          <w:tcPr>
            <w:tcW w:w="8012" w:type="dxa"/>
          </w:tcPr>
          <w:p>
            <w:pPr>
              <w:pStyle w:val="8"/>
              <w:spacing w:before="3" w:line="398" w:lineRule="exact"/>
              <w:ind w:left="107" w:right="79"/>
              <w:rPr>
                <w:sz w:val="24"/>
              </w:rPr>
            </w:pPr>
            <w:bookmarkStart w:id="37" w:name="结合疫情防控、“创卫”、爱国卫生环境大扫除等工作，持续开展除“四害”、灭蚊蝇等工"/>
            <w:bookmarkEnd w:id="37"/>
            <w:r>
              <w:rPr>
                <w:sz w:val="24"/>
              </w:rPr>
              <w:t>结合疫情防控、“创卫”、爱国卫生环境大扫除等工作，持续开展除“四害”、灭蚊蝇等工作。</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6"/>
              <w:rPr>
                <w:rFonts w:ascii="方正小标宋简体"/>
                <w:sz w:val="15"/>
              </w:rPr>
            </w:pPr>
          </w:p>
          <w:p>
            <w:pPr>
              <w:pStyle w:val="8"/>
              <w:ind w:left="159" w:right="151"/>
              <w:jc w:val="center"/>
              <w:rPr>
                <w:sz w:val="24"/>
              </w:rPr>
            </w:pPr>
            <w:r>
              <w:rPr>
                <w:sz w:val="24"/>
              </w:rPr>
              <w:t>14</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line="400" w:lineRule="exact"/>
              <w:ind w:left="107" w:right="78"/>
              <w:rPr>
                <w:sz w:val="24"/>
              </w:rPr>
            </w:pPr>
            <w:bookmarkStart w:id="38" w:name="强化保洁力量，每日对小区楼门把手、楼梯扶手、电梯、生活垃圾收集容器等进行消杀。"/>
            <w:bookmarkEnd w:id="38"/>
            <w:r>
              <w:rPr>
                <w:sz w:val="24"/>
              </w:rPr>
              <w:t>强化保洁力量，每日对小区楼门把手、楼梯扶手、电梯、生活垃圾收集容器等进行消杀。</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926" w:type="dxa"/>
          </w:tcPr>
          <w:p>
            <w:pPr>
              <w:pStyle w:val="8"/>
              <w:spacing w:before="91"/>
              <w:ind w:left="159" w:right="151"/>
              <w:jc w:val="center"/>
              <w:rPr>
                <w:sz w:val="24"/>
              </w:rPr>
            </w:pPr>
            <w:r>
              <w:rPr>
                <w:sz w:val="24"/>
              </w:rPr>
              <w:t>15</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82"/>
              <w:ind w:left="107"/>
              <w:rPr>
                <w:sz w:val="24"/>
              </w:rPr>
            </w:pPr>
            <w:bookmarkStart w:id="39" w:name="定期清除小区卫生死角，及时将清理出的杂物进行分类处理。"/>
            <w:bookmarkEnd w:id="39"/>
            <w:r>
              <w:rPr>
                <w:sz w:val="24"/>
              </w:rPr>
              <w:t>定期清除小区卫生死角，及时将清理出的杂物进行分类处理。</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4"/>
              <w:rPr>
                <w:rFonts w:ascii="方正小标宋简体"/>
                <w:sz w:val="15"/>
              </w:rPr>
            </w:pPr>
          </w:p>
          <w:p>
            <w:pPr>
              <w:pStyle w:val="8"/>
              <w:ind w:left="159" w:right="151"/>
              <w:jc w:val="center"/>
              <w:rPr>
                <w:sz w:val="24"/>
              </w:rPr>
            </w:pPr>
            <w:bookmarkStart w:id="40" w:name="16"/>
            <w:bookmarkEnd w:id="40"/>
            <w:r>
              <w:rPr>
                <w:sz w:val="24"/>
              </w:rPr>
              <w:t>16</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1" w:line="400" w:lineRule="exact"/>
              <w:ind w:left="107" w:right="78"/>
              <w:rPr>
                <w:sz w:val="24"/>
              </w:rPr>
            </w:pPr>
            <w:bookmarkStart w:id="41" w:name="张贴清理楼道杂物通知，每月定期清理、反复清理，并加大非法占用楼内公共区域及消防通"/>
            <w:bookmarkEnd w:id="41"/>
            <w:r>
              <w:rPr>
                <w:sz w:val="24"/>
              </w:rPr>
              <w:t>张贴清理楼道杂物通知，每月定期清理、反复清理，并加大非法占用楼内公共区域及消防通道的处罚力度。</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3" w:hRule="atLeast"/>
        </w:trPr>
        <w:tc>
          <w:tcPr>
            <w:tcW w:w="926" w:type="dxa"/>
          </w:tcPr>
          <w:p>
            <w:pPr>
              <w:pStyle w:val="8"/>
              <w:spacing w:before="97"/>
              <w:ind w:left="159" w:right="151"/>
              <w:jc w:val="center"/>
              <w:rPr>
                <w:sz w:val="24"/>
              </w:rPr>
            </w:pPr>
            <w:bookmarkStart w:id="42" w:name="17"/>
            <w:bookmarkEnd w:id="42"/>
            <w:r>
              <w:rPr>
                <w:sz w:val="24"/>
              </w:rPr>
              <w:t>17</w:t>
            </w:r>
          </w:p>
        </w:tc>
        <w:tc>
          <w:tcPr>
            <w:tcW w:w="2131" w:type="dxa"/>
            <w:vMerge w:val="continue"/>
            <w:tcBorders>
              <w:top w:val="nil"/>
            </w:tcBorders>
          </w:tcPr>
          <w:p>
            <w:pPr>
              <w:rPr>
                <w:sz w:val="2"/>
                <w:szCs w:val="2"/>
              </w:rPr>
            </w:pPr>
          </w:p>
        </w:tc>
        <w:tc>
          <w:tcPr>
            <w:tcW w:w="2136" w:type="dxa"/>
            <w:vMerge w:val="restart"/>
          </w:tcPr>
          <w:p>
            <w:pPr>
              <w:pStyle w:val="8"/>
              <w:rPr>
                <w:rFonts w:ascii="方正小标宋简体"/>
                <w:sz w:val="24"/>
              </w:rPr>
            </w:pPr>
          </w:p>
          <w:p>
            <w:pPr>
              <w:pStyle w:val="8"/>
              <w:spacing w:before="11"/>
              <w:rPr>
                <w:rFonts w:ascii="方正小标宋简体"/>
                <w:sz w:val="19"/>
              </w:rPr>
            </w:pPr>
          </w:p>
          <w:p>
            <w:pPr>
              <w:pStyle w:val="8"/>
              <w:spacing w:line="312" w:lineRule="auto"/>
              <w:ind w:left="467" w:right="214" w:hanging="240"/>
              <w:rPr>
                <w:sz w:val="24"/>
              </w:rPr>
            </w:pPr>
            <w:bookmarkStart w:id="43" w:name="生活垃圾乱堆乱放整治行动"/>
            <w:bookmarkEnd w:id="43"/>
            <w:bookmarkStart w:id="44" w:name="18"/>
            <w:bookmarkEnd w:id="44"/>
            <w:bookmarkStart w:id="45" w:name="19"/>
            <w:bookmarkEnd w:id="45"/>
            <w:r>
              <w:rPr>
                <w:sz w:val="24"/>
              </w:rPr>
              <w:t>生活垃圾乱堆乱放整治行动</w:t>
            </w:r>
          </w:p>
        </w:tc>
        <w:tc>
          <w:tcPr>
            <w:tcW w:w="8012" w:type="dxa"/>
          </w:tcPr>
          <w:p>
            <w:pPr>
              <w:pStyle w:val="8"/>
              <w:spacing w:before="81"/>
              <w:ind w:left="107"/>
              <w:rPr>
                <w:sz w:val="24"/>
              </w:rPr>
            </w:pPr>
            <w:bookmarkStart w:id="46" w:name="加强入户宣传，引导居民自主将大件垃圾、装修垃圾投放至相应点位。"/>
            <w:bookmarkEnd w:id="46"/>
            <w:r>
              <w:rPr>
                <w:sz w:val="24"/>
              </w:rPr>
              <w:t>加强入户宣传，引导居民自主将大件垃圾、装修垃圾投放至相应点位。</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26" w:type="dxa"/>
          </w:tcPr>
          <w:p>
            <w:pPr>
              <w:pStyle w:val="8"/>
              <w:spacing w:before="108"/>
              <w:ind w:left="159" w:right="151"/>
              <w:jc w:val="center"/>
              <w:rPr>
                <w:sz w:val="24"/>
              </w:rPr>
            </w:pPr>
            <w:r>
              <w:rPr>
                <w:sz w:val="24"/>
              </w:rPr>
              <w:t>18</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82"/>
              <w:ind w:left="107"/>
              <w:rPr>
                <w:sz w:val="24"/>
              </w:rPr>
            </w:pPr>
            <w:bookmarkStart w:id="47" w:name="结合“人防+技防”手段，加强巡查管控，发现堆物堆料现象，及时清理。"/>
            <w:bookmarkEnd w:id="47"/>
            <w:r>
              <w:rPr>
                <w:sz w:val="24"/>
              </w:rPr>
              <w:t>结合“人防+技防”手段，加强巡查管控，发现堆物堆料现象，及时清理。</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926" w:type="dxa"/>
          </w:tcPr>
          <w:p>
            <w:pPr>
              <w:pStyle w:val="8"/>
              <w:spacing w:before="115"/>
              <w:ind w:left="159" w:right="151"/>
              <w:jc w:val="center"/>
              <w:rPr>
                <w:sz w:val="24"/>
              </w:rPr>
            </w:pPr>
            <w:r>
              <w:rPr>
                <w:sz w:val="24"/>
              </w:rPr>
              <w:t>19</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81"/>
              <w:ind w:left="107"/>
              <w:rPr>
                <w:sz w:val="24"/>
              </w:rPr>
            </w:pPr>
            <w:bookmarkStart w:id="48" w:name="大件垃圾和装修垃圾有序码放，规范督导，无混合投放。"/>
            <w:bookmarkEnd w:id="48"/>
            <w:r>
              <w:rPr>
                <w:sz w:val="24"/>
              </w:rPr>
              <w:t>大件垃圾和装修垃圾有序码放，规范督导，无混合投放。</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atLeast"/>
        </w:trPr>
        <w:tc>
          <w:tcPr>
            <w:tcW w:w="926" w:type="dxa"/>
          </w:tcPr>
          <w:p>
            <w:pPr>
              <w:pStyle w:val="8"/>
              <w:spacing w:before="14"/>
              <w:rPr>
                <w:rFonts w:ascii="方正小标宋简体"/>
                <w:sz w:val="15"/>
              </w:rPr>
            </w:pPr>
          </w:p>
          <w:p>
            <w:pPr>
              <w:pStyle w:val="8"/>
              <w:ind w:left="159" w:right="151"/>
              <w:jc w:val="center"/>
              <w:rPr>
                <w:sz w:val="24"/>
              </w:rPr>
            </w:pPr>
            <w:bookmarkStart w:id="49" w:name="20"/>
            <w:bookmarkEnd w:id="49"/>
            <w:r>
              <w:rPr>
                <w:sz w:val="24"/>
              </w:rPr>
              <w:t>20</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line="400" w:lineRule="exact"/>
              <w:ind w:left="107" w:right="78"/>
              <w:rPr>
                <w:sz w:val="24"/>
              </w:rPr>
            </w:pPr>
            <w:bookmarkStart w:id="50" w:name="加强大件垃圾、装修垃圾投放点日常维护，设置围挡或专门区域、地面硬化处理。投放点外"/>
            <w:bookmarkEnd w:id="50"/>
            <w:r>
              <w:rPr>
                <w:sz w:val="24"/>
              </w:rPr>
              <w:t>加强大件垃圾、装修垃圾投放点日常维护，设置围挡或专门区域、地面硬化处理。投放点外临时堆放，应立有公示牌，注明暂存时间段等信息。</w:t>
            </w:r>
          </w:p>
        </w:tc>
        <w:tc>
          <w:tcPr>
            <w:tcW w:w="1535" w:type="dxa"/>
          </w:tcPr>
          <w:p>
            <w:pPr>
              <w:pStyle w:val="8"/>
              <w:rPr>
                <w:rFonts w:ascii="Times New Roman"/>
                <w:sz w:val="24"/>
              </w:rPr>
            </w:pPr>
          </w:p>
        </w:tc>
      </w:tr>
    </w:tbl>
    <w:p>
      <w:pPr>
        <w:spacing w:after="0"/>
        <w:rPr>
          <w:rFonts w:ascii="Times New Roman"/>
          <w:sz w:val="24"/>
        </w:rPr>
        <w:sectPr>
          <w:pgSz w:w="16840" w:h="11910" w:orient="landscape"/>
          <w:pgMar w:top="0" w:right="780" w:bottom="1800" w:left="880" w:header="0" w:footer="1609" w:gutter="0"/>
        </w:sectPr>
      </w:pPr>
    </w:p>
    <w:p>
      <w:pPr>
        <w:pStyle w:val="3"/>
        <w:rPr>
          <w:rFonts w:ascii="方正小标宋简体"/>
          <w:sz w:val="20"/>
        </w:rPr>
      </w:pPr>
      <w:r>
        <w:pict>
          <v:shape id="_x0000_s1046" o:spid="_x0000_s1046" o:spt="136" type="#_x0000_t136" style="position:absolute;left:0pt;margin-left:137.4pt;margin-top:278.1pt;height:48pt;width:576pt;mso-position-horizontal-relative:page;mso-position-vertical-relative:page;rotation:20643840f;z-index:-253130752;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rFonts w:ascii="方正小标宋简体"/>
          <w:sz w:val="20"/>
        </w:rPr>
      </w:pPr>
    </w:p>
    <w:p>
      <w:pPr>
        <w:pStyle w:val="3"/>
        <w:rPr>
          <w:rFonts w:ascii="方正小标宋简体"/>
          <w:sz w:val="20"/>
        </w:rPr>
      </w:pPr>
    </w:p>
    <w:p>
      <w:pPr>
        <w:pStyle w:val="3"/>
        <w:spacing w:before="6"/>
        <w:rPr>
          <w:rFonts w:ascii="方正小标宋简体"/>
          <w:sz w:val="29"/>
        </w:rPr>
      </w:pPr>
    </w:p>
    <w:tbl>
      <w:tblPr>
        <w:tblStyle w:val="4"/>
        <w:tblW w:w="1474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131"/>
        <w:gridCol w:w="2136"/>
        <w:gridCol w:w="8012"/>
        <w:gridCol w:w="1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926" w:type="dxa"/>
          </w:tcPr>
          <w:p>
            <w:pPr>
              <w:pStyle w:val="8"/>
              <w:spacing w:before="169"/>
              <w:ind w:left="164" w:right="151"/>
              <w:jc w:val="center"/>
              <w:rPr>
                <w:rFonts w:hint="eastAsia" w:ascii="黑体" w:eastAsia="黑体"/>
                <w:sz w:val="28"/>
              </w:rPr>
            </w:pPr>
            <w:bookmarkStart w:id="51" w:name="序号"/>
            <w:bookmarkEnd w:id="51"/>
            <w:r>
              <w:rPr>
                <w:rFonts w:hint="eastAsia" w:ascii="黑体" w:eastAsia="黑体"/>
                <w:sz w:val="28"/>
              </w:rPr>
              <w:t>序号</w:t>
            </w:r>
          </w:p>
        </w:tc>
        <w:tc>
          <w:tcPr>
            <w:tcW w:w="2131" w:type="dxa"/>
          </w:tcPr>
          <w:p>
            <w:pPr>
              <w:pStyle w:val="8"/>
              <w:tabs>
                <w:tab w:val="left" w:pos="1206"/>
              </w:tabs>
              <w:spacing w:before="169"/>
              <w:ind w:left="644"/>
              <w:rPr>
                <w:rFonts w:hint="eastAsia" w:ascii="黑体" w:eastAsia="黑体"/>
                <w:sz w:val="28"/>
              </w:rPr>
            </w:pPr>
            <w:bookmarkStart w:id="52" w:name="项  目"/>
            <w:bookmarkEnd w:id="52"/>
            <w:r>
              <w:rPr>
                <w:rFonts w:hint="eastAsia" w:ascii="黑体" w:eastAsia="黑体"/>
                <w:sz w:val="28"/>
              </w:rPr>
              <w:t>项</w:t>
            </w:r>
            <w:r>
              <w:rPr>
                <w:rFonts w:hint="eastAsia" w:ascii="黑体" w:eastAsia="黑体"/>
                <w:sz w:val="28"/>
              </w:rPr>
              <w:tab/>
            </w:r>
            <w:r>
              <w:rPr>
                <w:rFonts w:hint="eastAsia" w:ascii="黑体" w:eastAsia="黑体"/>
                <w:sz w:val="28"/>
              </w:rPr>
              <w:t>目</w:t>
            </w:r>
          </w:p>
        </w:tc>
        <w:tc>
          <w:tcPr>
            <w:tcW w:w="2136" w:type="dxa"/>
          </w:tcPr>
          <w:p>
            <w:pPr>
              <w:pStyle w:val="8"/>
              <w:tabs>
                <w:tab w:val="left" w:pos="1209"/>
              </w:tabs>
              <w:spacing w:before="169"/>
              <w:ind w:left="647"/>
              <w:rPr>
                <w:rFonts w:hint="eastAsia" w:ascii="黑体" w:eastAsia="黑体"/>
                <w:sz w:val="28"/>
              </w:rPr>
            </w:pPr>
            <w:bookmarkStart w:id="53" w:name="内  容"/>
            <w:bookmarkEnd w:id="53"/>
            <w:r>
              <w:rPr>
                <w:rFonts w:hint="eastAsia" w:ascii="黑体" w:eastAsia="黑体"/>
                <w:sz w:val="28"/>
              </w:rPr>
              <w:t>内</w:t>
            </w:r>
            <w:r>
              <w:rPr>
                <w:rFonts w:hint="eastAsia" w:ascii="黑体" w:eastAsia="黑体"/>
                <w:sz w:val="28"/>
              </w:rPr>
              <w:tab/>
            </w:r>
            <w:r>
              <w:rPr>
                <w:rFonts w:hint="eastAsia" w:ascii="黑体" w:eastAsia="黑体"/>
                <w:sz w:val="28"/>
              </w:rPr>
              <w:t>容</w:t>
            </w:r>
          </w:p>
        </w:tc>
        <w:tc>
          <w:tcPr>
            <w:tcW w:w="8012" w:type="dxa"/>
          </w:tcPr>
          <w:p>
            <w:pPr>
              <w:pStyle w:val="8"/>
              <w:spacing w:before="169"/>
              <w:ind w:left="3427" w:right="3414"/>
              <w:jc w:val="center"/>
              <w:rPr>
                <w:rFonts w:hint="eastAsia" w:ascii="黑体" w:eastAsia="黑体"/>
                <w:sz w:val="28"/>
              </w:rPr>
            </w:pPr>
            <w:bookmarkStart w:id="54" w:name="具体指标"/>
            <w:bookmarkEnd w:id="54"/>
            <w:r>
              <w:rPr>
                <w:rFonts w:hint="eastAsia" w:ascii="黑体" w:eastAsia="黑体"/>
                <w:sz w:val="28"/>
              </w:rPr>
              <w:t>具体指标</w:t>
            </w:r>
          </w:p>
        </w:tc>
        <w:tc>
          <w:tcPr>
            <w:tcW w:w="1535" w:type="dxa"/>
          </w:tcPr>
          <w:p>
            <w:pPr>
              <w:pStyle w:val="8"/>
              <w:spacing w:before="169"/>
              <w:ind w:left="486"/>
              <w:rPr>
                <w:rFonts w:hint="eastAsia" w:ascii="黑体" w:eastAsia="黑体"/>
                <w:sz w:val="28"/>
              </w:rPr>
            </w:pPr>
            <w:bookmarkStart w:id="55" w:name="备注"/>
            <w:bookmarkEnd w:id="55"/>
            <w:r>
              <w:rPr>
                <w:rFonts w:hint="eastAsia" w:ascii="黑体" w:eastAsia="黑体"/>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6"/>
              <w:rPr>
                <w:rFonts w:ascii="方正小标宋简体"/>
                <w:sz w:val="15"/>
              </w:rPr>
            </w:pPr>
          </w:p>
          <w:p>
            <w:pPr>
              <w:pStyle w:val="8"/>
              <w:ind w:left="159" w:right="151"/>
              <w:jc w:val="center"/>
              <w:rPr>
                <w:sz w:val="24"/>
              </w:rPr>
            </w:pPr>
            <w:bookmarkStart w:id="56" w:name="21"/>
            <w:bookmarkEnd w:id="56"/>
            <w:r>
              <w:rPr>
                <w:sz w:val="24"/>
              </w:rPr>
              <w:t>21</w:t>
            </w:r>
          </w:p>
        </w:tc>
        <w:tc>
          <w:tcPr>
            <w:tcW w:w="2131" w:type="dxa"/>
            <w:vMerge w:val="restart"/>
          </w:tcPr>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spacing w:before="10"/>
              <w:rPr>
                <w:rFonts w:ascii="方正小标宋简体"/>
                <w:sz w:val="31"/>
              </w:rPr>
            </w:pPr>
          </w:p>
          <w:p>
            <w:pPr>
              <w:pStyle w:val="8"/>
              <w:spacing w:line="312" w:lineRule="auto"/>
              <w:ind w:left="344" w:right="54" w:hanging="236"/>
              <w:rPr>
                <w:sz w:val="24"/>
              </w:rPr>
            </w:pPr>
            <w:bookmarkStart w:id="57" w:name="居住小区“十大环境问题”整治"/>
            <w:bookmarkEnd w:id="57"/>
            <w:bookmarkStart w:id="58" w:name="22"/>
            <w:bookmarkEnd w:id="58"/>
            <w:bookmarkStart w:id="59" w:name="23"/>
            <w:bookmarkEnd w:id="59"/>
            <w:bookmarkStart w:id="60" w:name="24"/>
            <w:bookmarkEnd w:id="60"/>
            <w:bookmarkStart w:id="61" w:name="25"/>
            <w:bookmarkEnd w:id="61"/>
            <w:r>
              <w:rPr>
                <w:sz w:val="24"/>
              </w:rPr>
              <w:t>居住小区“十大环境问题”整治</w:t>
            </w:r>
          </w:p>
        </w:tc>
        <w:tc>
          <w:tcPr>
            <w:tcW w:w="2136" w:type="dxa"/>
          </w:tcPr>
          <w:p>
            <w:pPr>
              <w:pStyle w:val="8"/>
              <w:spacing w:line="400" w:lineRule="exact"/>
              <w:ind w:left="467" w:right="214" w:hanging="240"/>
              <w:rPr>
                <w:sz w:val="24"/>
              </w:rPr>
            </w:pPr>
            <w:bookmarkStart w:id="62" w:name="生活垃圾乱堆乱放整治行动"/>
            <w:bookmarkEnd w:id="62"/>
            <w:r>
              <w:rPr>
                <w:sz w:val="24"/>
              </w:rPr>
              <w:t>生活垃圾乱堆乱放整治行动</w:t>
            </w:r>
          </w:p>
        </w:tc>
        <w:tc>
          <w:tcPr>
            <w:tcW w:w="8012" w:type="dxa"/>
          </w:tcPr>
          <w:p>
            <w:pPr>
              <w:pStyle w:val="8"/>
              <w:spacing w:line="400" w:lineRule="exact"/>
              <w:ind w:left="107" w:right="78"/>
              <w:rPr>
                <w:sz w:val="24"/>
              </w:rPr>
            </w:pPr>
            <w:bookmarkStart w:id="63" w:name="管理责任人应与有资质的清运企业签订合同，要求合同内容符合规范、明确消纳去向、有双"/>
            <w:bookmarkEnd w:id="63"/>
            <w:r>
              <w:rPr>
                <w:sz w:val="24"/>
              </w:rPr>
              <w:t>管理责任人应与有资质的清运企业签订合同，要求合同内容符合规范、明确消纳去向、有双方签字或盖章，未过期。</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5"/>
              <w:rPr>
                <w:rFonts w:ascii="方正小标宋简体"/>
                <w:sz w:val="15"/>
              </w:rPr>
            </w:pPr>
          </w:p>
          <w:p>
            <w:pPr>
              <w:pStyle w:val="8"/>
              <w:ind w:left="159" w:right="151"/>
              <w:jc w:val="center"/>
              <w:rPr>
                <w:sz w:val="24"/>
              </w:rPr>
            </w:pPr>
            <w:r>
              <w:rPr>
                <w:sz w:val="24"/>
              </w:rPr>
              <w:t>22</w:t>
            </w:r>
          </w:p>
        </w:tc>
        <w:tc>
          <w:tcPr>
            <w:tcW w:w="2131" w:type="dxa"/>
            <w:vMerge w:val="continue"/>
            <w:tcBorders>
              <w:top w:val="nil"/>
            </w:tcBorders>
          </w:tcPr>
          <w:p>
            <w:pPr>
              <w:rPr>
                <w:sz w:val="2"/>
                <w:szCs w:val="2"/>
              </w:rPr>
            </w:pPr>
          </w:p>
        </w:tc>
        <w:tc>
          <w:tcPr>
            <w:tcW w:w="2136" w:type="dxa"/>
            <w:vMerge w:val="restart"/>
          </w:tcPr>
          <w:p>
            <w:pPr>
              <w:pStyle w:val="8"/>
              <w:spacing w:before="14"/>
              <w:rPr>
                <w:rFonts w:ascii="方正小标宋简体"/>
                <w:sz w:val="27"/>
              </w:rPr>
            </w:pPr>
          </w:p>
          <w:p>
            <w:pPr>
              <w:pStyle w:val="8"/>
              <w:spacing w:line="312" w:lineRule="auto"/>
              <w:ind w:left="109" w:right="89"/>
              <w:jc w:val="center"/>
              <w:rPr>
                <w:sz w:val="24"/>
              </w:rPr>
            </w:pPr>
            <w:bookmarkStart w:id="64" w:name="非法张贴、喷涂、散发小广告整治行动"/>
            <w:bookmarkEnd w:id="64"/>
            <w:r>
              <w:rPr>
                <w:spacing w:val="-2"/>
                <w:sz w:val="24"/>
              </w:rPr>
              <w:t>非法张贴、喷涂、</w:t>
            </w:r>
            <w:r>
              <w:rPr>
                <w:sz w:val="24"/>
              </w:rPr>
              <w:t>散发小广告整治 行动</w:t>
            </w:r>
          </w:p>
        </w:tc>
        <w:tc>
          <w:tcPr>
            <w:tcW w:w="8012" w:type="dxa"/>
          </w:tcPr>
          <w:p>
            <w:pPr>
              <w:pStyle w:val="8"/>
              <w:spacing w:before="3" w:line="398" w:lineRule="exact"/>
              <w:ind w:left="107" w:right="78"/>
              <w:rPr>
                <w:sz w:val="24"/>
              </w:rPr>
            </w:pPr>
            <w:bookmarkStart w:id="65" w:name="加大居民宣传力度，及时对非法小广告张贴、喷涂、散发人员进行举报，并由执法部门对该"/>
            <w:bookmarkEnd w:id="65"/>
            <w:r>
              <w:rPr>
                <w:sz w:val="24"/>
              </w:rPr>
              <w:t>加大居民宣传力度，及时对非法小广告张贴、喷涂、散发人员进行举报， 并由执法部门对该行为人教育处罚。</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6"/>
              <w:rPr>
                <w:rFonts w:ascii="方正小标宋简体"/>
                <w:sz w:val="15"/>
              </w:rPr>
            </w:pPr>
          </w:p>
          <w:p>
            <w:pPr>
              <w:pStyle w:val="8"/>
              <w:ind w:left="159" w:right="151"/>
              <w:jc w:val="center"/>
              <w:rPr>
                <w:sz w:val="24"/>
              </w:rPr>
            </w:pPr>
            <w:r>
              <w:rPr>
                <w:sz w:val="24"/>
              </w:rPr>
              <w:t>23</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line="400" w:lineRule="exact"/>
              <w:ind w:left="107" w:right="78"/>
              <w:rPr>
                <w:sz w:val="24"/>
              </w:rPr>
            </w:pPr>
            <w:bookmarkStart w:id="66" w:name="加大巡查力度，制止在小区内非法张贴、喷涂、散发小广告的行为，及时清除张贴、喷涂小"/>
            <w:bookmarkEnd w:id="66"/>
            <w:r>
              <w:rPr>
                <w:sz w:val="24"/>
              </w:rPr>
              <w:t>加大巡查力度，制止在小区内非法张贴、喷涂、散发小广告的行为，及时清除张贴、喷涂小广告。</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926" w:type="dxa"/>
          </w:tcPr>
          <w:p>
            <w:pPr>
              <w:pStyle w:val="8"/>
              <w:spacing w:before="82" w:line="298" w:lineRule="exact"/>
              <w:ind w:left="159" w:right="151"/>
              <w:jc w:val="center"/>
              <w:rPr>
                <w:sz w:val="24"/>
              </w:rPr>
            </w:pPr>
            <w:r>
              <w:rPr>
                <w:sz w:val="24"/>
              </w:rPr>
              <w:t>24</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82" w:line="298" w:lineRule="exact"/>
              <w:ind w:left="107"/>
              <w:rPr>
                <w:sz w:val="24"/>
              </w:rPr>
            </w:pPr>
            <w:bookmarkStart w:id="67" w:name="每周组织动员居民清理自家楼门，保证墙面无粘贴物，地面无杂物。"/>
            <w:bookmarkEnd w:id="67"/>
            <w:r>
              <w:rPr>
                <w:sz w:val="24"/>
              </w:rPr>
              <w:t>每周组织动员居民清理自家楼门，保证墙面无粘贴物，地面无杂物。</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9" w:hRule="atLeast"/>
        </w:trPr>
        <w:tc>
          <w:tcPr>
            <w:tcW w:w="926" w:type="dxa"/>
          </w:tcPr>
          <w:p>
            <w:pPr>
              <w:pStyle w:val="8"/>
              <w:spacing w:before="2"/>
              <w:rPr>
                <w:rFonts w:ascii="方正小标宋简体"/>
                <w:sz w:val="27"/>
              </w:rPr>
            </w:pPr>
          </w:p>
          <w:p>
            <w:pPr>
              <w:pStyle w:val="8"/>
              <w:spacing w:before="1"/>
              <w:ind w:left="159" w:right="151"/>
              <w:jc w:val="center"/>
              <w:rPr>
                <w:sz w:val="24"/>
              </w:rPr>
            </w:pPr>
            <w:r>
              <w:rPr>
                <w:sz w:val="24"/>
              </w:rPr>
              <w:t>25</w:t>
            </w:r>
          </w:p>
        </w:tc>
        <w:tc>
          <w:tcPr>
            <w:tcW w:w="2131" w:type="dxa"/>
            <w:vMerge w:val="continue"/>
            <w:tcBorders>
              <w:top w:val="nil"/>
            </w:tcBorders>
          </w:tcPr>
          <w:p>
            <w:pPr>
              <w:rPr>
                <w:sz w:val="2"/>
                <w:szCs w:val="2"/>
              </w:rPr>
            </w:pPr>
          </w:p>
        </w:tc>
        <w:tc>
          <w:tcPr>
            <w:tcW w:w="2136" w:type="dxa"/>
            <w:vMerge w:val="restart"/>
          </w:tcPr>
          <w:p>
            <w:pPr>
              <w:pStyle w:val="8"/>
              <w:rPr>
                <w:rFonts w:ascii="方正小标宋简体"/>
                <w:sz w:val="24"/>
              </w:rPr>
            </w:pPr>
          </w:p>
          <w:p>
            <w:pPr>
              <w:pStyle w:val="8"/>
              <w:spacing w:before="14"/>
              <w:rPr>
                <w:rFonts w:ascii="方正小标宋简体"/>
                <w:sz w:val="14"/>
              </w:rPr>
            </w:pPr>
          </w:p>
          <w:p>
            <w:pPr>
              <w:pStyle w:val="8"/>
              <w:spacing w:line="312" w:lineRule="auto"/>
              <w:ind w:left="947" w:right="214" w:hanging="720"/>
              <w:rPr>
                <w:sz w:val="24"/>
              </w:rPr>
            </w:pPr>
            <w:bookmarkStart w:id="68" w:name="文明养犬整治行动"/>
            <w:bookmarkEnd w:id="68"/>
            <w:r>
              <w:rPr>
                <w:sz w:val="24"/>
              </w:rPr>
              <w:t>文明养犬整治行动</w:t>
            </w:r>
          </w:p>
        </w:tc>
        <w:tc>
          <w:tcPr>
            <w:tcW w:w="8012" w:type="dxa"/>
          </w:tcPr>
          <w:p>
            <w:pPr>
              <w:pStyle w:val="8"/>
              <w:spacing w:before="82" w:line="312" w:lineRule="auto"/>
              <w:ind w:left="107" w:right="78"/>
              <w:rPr>
                <w:sz w:val="24"/>
              </w:rPr>
            </w:pPr>
            <w:bookmarkStart w:id="69" w:name="定期组织文明养犬宣传活动，引导居民规范养犬，遛犬时为犬类佩戴嘴套和犬绳，犬类排便"/>
            <w:bookmarkEnd w:id="69"/>
            <w:r>
              <w:rPr>
                <w:sz w:val="24"/>
              </w:rPr>
              <w:t>定期组织文明养犬宣传活动，引导居民规范养犬，遛犬时为犬类佩戴嘴套和犬绳，犬类排便后要及时清理，进一步解决居民反映强烈的养犬突出问</w:t>
            </w:r>
          </w:p>
          <w:p>
            <w:pPr>
              <w:pStyle w:val="8"/>
              <w:spacing w:line="298" w:lineRule="exact"/>
              <w:ind w:left="107"/>
              <w:rPr>
                <w:sz w:val="24"/>
              </w:rPr>
            </w:pPr>
            <w:r>
              <w:rPr>
                <w:sz w:val="24"/>
              </w:rPr>
              <w:t>题。</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5"/>
              <w:rPr>
                <w:rFonts w:ascii="方正小标宋简体"/>
                <w:sz w:val="15"/>
              </w:rPr>
            </w:pPr>
          </w:p>
          <w:p>
            <w:pPr>
              <w:pStyle w:val="8"/>
              <w:ind w:left="159" w:right="151"/>
              <w:jc w:val="center"/>
              <w:rPr>
                <w:sz w:val="24"/>
              </w:rPr>
            </w:pPr>
            <w:bookmarkStart w:id="70" w:name="26"/>
            <w:bookmarkEnd w:id="70"/>
            <w:r>
              <w:rPr>
                <w:sz w:val="24"/>
              </w:rPr>
              <w:t>26</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3" w:line="398" w:lineRule="exact"/>
              <w:ind w:left="107" w:right="78"/>
              <w:rPr>
                <w:sz w:val="24"/>
              </w:rPr>
            </w:pPr>
            <w:bookmarkStart w:id="71" w:name="通过设置动物粪便收集装置、提供收集纸张等措施，为遛犬居民处理犬类粪便创造便利。"/>
            <w:bookmarkEnd w:id="71"/>
            <w:r>
              <w:rPr>
                <w:sz w:val="24"/>
              </w:rPr>
              <w:t>通过设置动物粪便收集装置、提供收集纸张等措施，为遛犬居民处理犬类粪便创造便利。</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926" w:type="dxa"/>
          </w:tcPr>
          <w:p>
            <w:pPr>
              <w:pStyle w:val="8"/>
              <w:spacing w:before="80" w:line="299" w:lineRule="exact"/>
              <w:ind w:left="159" w:right="151"/>
              <w:jc w:val="center"/>
              <w:rPr>
                <w:sz w:val="24"/>
              </w:rPr>
            </w:pPr>
            <w:bookmarkStart w:id="72" w:name="27"/>
            <w:bookmarkEnd w:id="72"/>
            <w:r>
              <w:rPr>
                <w:sz w:val="24"/>
              </w:rPr>
              <w:t>27</w:t>
            </w:r>
          </w:p>
        </w:tc>
        <w:tc>
          <w:tcPr>
            <w:tcW w:w="2131" w:type="dxa"/>
            <w:vMerge w:val="continue"/>
            <w:tcBorders>
              <w:top w:val="nil"/>
            </w:tcBorders>
          </w:tcPr>
          <w:p>
            <w:pPr>
              <w:rPr>
                <w:sz w:val="2"/>
                <w:szCs w:val="2"/>
              </w:rPr>
            </w:pPr>
          </w:p>
        </w:tc>
        <w:tc>
          <w:tcPr>
            <w:tcW w:w="2136" w:type="dxa"/>
            <w:vMerge w:val="restart"/>
          </w:tcPr>
          <w:p>
            <w:pPr>
              <w:pStyle w:val="8"/>
              <w:rPr>
                <w:rFonts w:ascii="方正小标宋简体"/>
                <w:sz w:val="24"/>
              </w:rPr>
            </w:pPr>
          </w:p>
          <w:p>
            <w:pPr>
              <w:pStyle w:val="8"/>
              <w:rPr>
                <w:rFonts w:ascii="方正小标宋简体"/>
                <w:sz w:val="15"/>
              </w:rPr>
            </w:pPr>
          </w:p>
          <w:p>
            <w:pPr>
              <w:pStyle w:val="8"/>
              <w:spacing w:line="312" w:lineRule="auto"/>
              <w:ind w:left="707" w:right="96" w:hanging="598"/>
              <w:rPr>
                <w:sz w:val="24"/>
              </w:rPr>
            </w:pPr>
            <w:bookmarkStart w:id="73" w:name="小区“僵尸车”整治行动"/>
            <w:bookmarkEnd w:id="73"/>
            <w:bookmarkStart w:id="74" w:name="28"/>
            <w:bookmarkEnd w:id="74"/>
            <w:r>
              <w:rPr>
                <w:sz w:val="24"/>
              </w:rPr>
              <w:t>小区“僵尸车”整治行动</w:t>
            </w:r>
          </w:p>
        </w:tc>
        <w:tc>
          <w:tcPr>
            <w:tcW w:w="8012" w:type="dxa"/>
          </w:tcPr>
          <w:p>
            <w:pPr>
              <w:pStyle w:val="8"/>
              <w:spacing w:before="80" w:line="299" w:lineRule="exact"/>
              <w:ind w:left="107"/>
              <w:rPr>
                <w:sz w:val="24"/>
              </w:rPr>
            </w:pPr>
            <w:bookmarkStart w:id="75" w:name="对长期占用小区停车资源，影响市容环境的“僵尸车”进行集中整治。"/>
            <w:bookmarkEnd w:id="75"/>
            <w:r>
              <w:rPr>
                <w:sz w:val="24"/>
              </w:rPr>
              <w:t>对长期占用小区停车资源，影响市容环境的“僵尸车”进行集中整治。</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4"/>
              <w:rPr>
                <w:rFonts w:ascii="方正小标宋简体"/>
                <w:sz w:val="15"/>
              </w:rPr>
            </w:pPr>
          </w:p>
          <w:p>
            <w:pPr>
              <w:pStyle w:val="8"/>
              <w:ind w:left="159" w:right="151"/>
              <w:jc w:val="center"/>
              <w:rPr>
                <w:sz w:val="24"/>
              </w:rPr>
            </w:pPr>
            <w:r>
              <w:rPr>
                <w:sz w:val="24"/>
              </w:rPr>
              <w:t>28</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1" w:line="400" w:lineRule="exact"/>
              <w:ind w:left="107" w:right="79"/>
              <w:rPr>
                <w:sz w:val="24"/>
              </w:rPr>
            </w:pPr>
            <w:bookmarkStart w:id="76" w:name="对小区内乱停放、长期无人使用的废旧自行车以及车棚“存车存物”等现象进行集中清理。"/>
            <w:bookmarkEnd w:id="76"/>
            <w:r>
              <w:rPr>
                <w:sz w:val="24"/>
              </w:rPr>
              <w:t>对小区内乱停放、长期无人使用的废旧自行车以及车棚“存车存物”等现象进行集中清理。</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9" w:hRule="atLeast"/>
        </w:trPr>
        <w:tc>
          <w:tcPr>
            <w:tcW w:w="926" w:type="dxa"/>
          </w:tcPr>
          <w:p>
            <w:pPr>
              <w:pStyle w:val="8"/>
              <w:spacing w:before="14"/>
              <w:rPr>
                <w:rFonts w:ascii="方正小标宋简体"/>
                <w:sz w:val="15"/>
              </w:rPr>
            </w:pPr>
          </w:p>
          <w:p>
            <w:pPr>
              <w:pStyle w:val="8"/>
              <w:spacing w:before="1"/>
              <w:ind w:left="159" w:right="151"/>
              <w:jc w:val="center"/>
              <w:rPr>
                <w:sz w:val="24"/>
              </w:rPr>
            </w:pPr>
            <w:bookmarkStart w:id="77" w:name="29"/>
            <w:bookmarkEnd w:id="77"/>
            <w:r>
              <w:rPr>
                <w:sz w:val="24"/>
              </w:rPr>
              <w:t>29</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2" w:line="398" w:lineRule="exact"/>
              <w:ind w:left="107" w:right="78"/>
              <w:rPr>
                <w:sz w:val="24"/>
              </w:rPr>
            </w:pPr>
            <w:bookmarkStart w:id="78" w:name="结合再生资源回收工作，组织旧物置换、以旧换新等活动，充分调动居民回收、置换意愿，"/>
            <w:bookmarkEnd w:id="78"/>
            <w:r>
              <w:rPr>
                <w:sz w:val="24"/>
              </w:rPr>
              <w:t>结合再生资源回收工作，组织旧物置换、以旧换新等活动，充分调动居民回收、置换意愿，主动清理。</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926" w:type="dxa"/>
          </w:tcPr>
          <w:p>
            <w:pPr>
              <w:pStyle w:val="8"/>
              <w:spacing w:before="81" w:line="299" w:lineRule="exact"/>
              <w:ind w:left="159" w:right="151"/>
              <w:jc w:val="center"/>
              <w:rPr>
                <w:sz w:val="24"/>
              </w:rPr>
            </w:pPr>
            <w:bookmarkStart w:id="79" w:name="30"/>
            <w:bookmarkEnd w:id="79"/>
            <w:r>
              <w:rPr>
                <w:sz w:val="24"/>
              </w:rPr>
              <w:t>30</w:t>
            </w:r>
          </w:p>
        </w:tc>
        <w:tc>
          <w:tcPr>
            <w:tcW w:w="2131" w:type="dxa"/>
            <w:vMerge w:val="continue"/>
            <w:tcBorders>
              <w:top w:val="nil"/>
            </w:tcBorders>
          </w:tcPr>
          <w:p>
            <w:pPr>
              <w:rPr>
                <w:sz w:val="2"/>
                <w:szCs w:val="2"/>
              </w:rPr>
            </w:pPr>
          </w:p>
        </w:tc>
        <w:tc>
          <w:tcPr>
            <w:tcW w:w="2136" w:type="dxa"/>
            <w:vMerge w:val="restart"/>
          </w:tcPr>
          <w:p>
            <w:pPr>
              <w:pStyle w:val="8"/>
              <w:spacing w:before="6" w:line="400" w:lineRule="exact"/>
              <w:ind w:left="347" w:right="214" w:hanging="120"/>
              <w:rPr>
                <w:sz w:val="24"/>
              </w:rPr>
            </w:pPr>
            <w:bookmarkStart w:id="80" w:name="电动自行车消防安全整治行动"/>
            <w:bookmarkEnd w:id="80"/>
            <w:r>
              <w:rPr>
                <w:sz w:val="24"/>
              </w:rPr>
              <w:t>电动自行车消防</w:t>
            </w:r>
            <w:bookmarkStart w:id="81" w:name="31"/>
            <w:bookmarkEnd w:id="81"/>
            <w:r>
              <w:rPr>
                <w:sz w:val="24"/>
              </w:rPr>
              <w:t>安全整治行动</w:t>
            </w:r>
          </w:p>
        </w:tc>
        <w:tc>
          <w:tcPr>
            <w:tcW w:w="8012" w:type="dxa"/>
          </w:tcPr>
          <w:p>
            <w:pPr>
              <w:pStyle w:val="8"/>
              <w:spacing w:before="81" w:line="299" w:lineRule="exact"/>
              <w:ind w:left="107"/>
              <w:rPr>
                <w:sz w:val="24"/>
              </w:rPr>
            </w:pPr>
            <w:bookmarkStart w:id="82" w:name="及时排查小区内的电动自行车乱停放、飞线充电等安全隐患问题。"/>
            <w:bookmarkEnd w:id="82"/>
            <w:r>
              <w:rPr>
                <w:sz w:val="24"/>
              </w:rPr>
              <w:t>及时排查小区内的电动自行车乱停放、飞线充电等安全隐患问题。</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926" w:type="dxa"/>
          </w:tcPr>
          <w:p>
            <w:pPr>
              <w:pStyle w:val="8"/>
              <w:spacing w:before="81" w:line="297" w:lineRule="exact"/>
              <w:ind w:left="159" w:right="151"/>
              <w:jc w:val="center"/>
              <w:rPr>
                <w:sz w:val="24"/>
              </w:rPr>
            </w:pPr>
            <w:r>
              <w:rPr>
                <w:sz w:val="24"/>
              </w:rPr>
              <w:t>31</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81" w:line="297" w:lineRule="exact"/>
              <w:ind w:left="107"/>
              <w:rPr>
                <w:sz w:val="24"/>
              </w:rPr>
            </w:pPr>
            <w:bookmarkStart w:id="83" w:name="加强宣传，提高居民安全意识，引导居民有序停车，严禁电动自行车入户充电。"/>
            <w:bookmarkEnd w:id="83"/>
            <w:r>
              <w:rPr>
                <w:spacing w:val="-22"/>
                <w:sz w:val="24"/>
              </w:rPr>
              <w:t>加强宣传，提高居民安全意识，引导居民有序停车，严禁电动自行车入户充电。</w:t>
            </w:r>
          </w:p>
        </w:tc>
        <w:tc>
          <w:tcPr>
            <w:tcW w:w="1535" w:type="dxa"/>
          </w:tcPr>
          <w:p>
            <w:pPr>
              <w:pStyle w:val="8"/>
              <w:rPr>
                <w:rFonts w:ascii="Times New Roman"/>
                <w:sz w:val="24"/>
              </w:rPr>
            </w:pPr>
          </w:p>
        </w:tc>
      </w:tr>
    </w:tbl>
    <w:p>
      <w:pPr>
        <w:spacing w:after="0"/>
        <w:rPr>
          <w:rFonts w:ascii="Times New Roman"/>
          <w:sz w:val="24"/>
        </w:rPr>
        <w:sectPr>
          <w:pgSz w:w="16840" w:h="11910" w:orient="landscape"/>
          <w:pgMar w:top="0" w:right="780" w:bottom="1800" w:left="880" w:header="0" w:footer="1609" w:gutter="0"/>
        </w:sectPr>
      </w:pPr>
    </w:p>
    <w:p>
      <w:pPr>
        <w:pStyle w:val="3"/>
        <w:rPr>
          <w:rFonts w:ascii="方正小标宋简体"/>
          <w:sz w:val="20"/>
        </w:rPr>
      </w:pPr>
      <w:r>
        <w:pict>
          <v:shape id="_x0000_s1047" o:spid="_x0000_s1047" o:spt="136" type="#_x0000_t136" style="position:absolute;left:0pt;margin-left:137.4pt;margin-top:278.1pt;height:48pt;width:576pt;mso-position-horizontal-relative:page;mso-position-vertical-relative:page;rotation:20643840f;z-index:-253129728;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rFonts w:ascii="方正小标宋简体"/>
          <w:sz w:val="20"/>
        </w:rPr>
      </w:pPr>
    </w:p>
    <w:p>
      <w:pPr>
        <w:pStyle w:val="3"/>
        <w:rPr>
          <w:rFonts w:ascii="方正小标宋简体"/>
          <w:sz w:val="20"/>
        </w:rPr>
      </w:pPr>
    </w:p>
    <w:p>
      <w:pPr>
        <w:pStyle w:val="3"/>
        <w:spacing w:before="6"/>
        <w:rPr>
          <w:rFonts w:ascii="方正小标宋简体"/>
          <w:sz w:val="29"/>
        </w:rPr>
      </w:pPr>
    </w:p>
    <w:tbl>
      <w:tblPr>
        <w:tblStyle w:val="4"/>
        <w:tblW w:w="1474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131"/>
        <w:gridCol w:w="2136"/>
        <w:gridCol w:w="8012"/>
        <w:gridCol w:w="1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926" w:type="dxa"/>
          </w:tcPr>
          <w:p>
            <w:pPr>
              <w:pStyle w:val="8"/>
              <w:spacing w:before="169"/>
              <w:ind w:left="164" w:right="151"/>
              <w:jc w:val="center"/>
              <w:rPr>
                <w:rFonts w:hint="eastAsia" w:ascii="黑体" w:eastAsia="黑体"/>
                <w:sz w:val="28"/>
              </w:rPr>
            </w:pPr>
            <w:bookmarkStart w:id="84" w:name="序号"/>
            <w:bookmarkEnd w:id="84"/>
            <w:r>
              <w:rPr>
                <w:rFonts w:hint="eastAsia" w:ascii="黑体" w:eastAsia="黑体"/>
                <w:sz w:val="28"/>
              </w:rPr>
              <w:t>序号</w:t>
            </w:r>
          </w:p>
        </w:tc>
        <w:tc>
          <w:tcPr>
            <w:tcW w:w="2131" w:type="dxa"/>
          </w:tcPr>
          <w:p>
            <w:pPr>
              <w:pStyle w:val="8"/>
              <w:tabs>
                <w:tab w:val="left" w:pos="1206"/>
              </w:tabs>
              <w:spacing w:before="169"/>
              <w:ind w:left="644"/>
              <w:rPr>
                <w:rFonts w:hint="eastAsia" w:ascii="黑体" w:eastAsia="黑体"/>
                <w:sz w:val="28"/>
              </w:rPr>
            </w:pPr>
            <w:bookmarkStart w:id="85" w:name="项  目"/>
            <w:bookmarkEnd w:id="85"/>
            <w:r>
              <w:rPr>
                <w:rFonts w:hint="eastAsia" w:ascii="黑体" w:eastAsia="黑体"/>
                <w:sz w:val="28"/>
              </w:rPr>
              <w:t>项</w:t>
            </w:r>
            <w:r>
              <w:rPr>
                <w:rFonts w:hint="eastAsia" w:ascii="黑体" w:eastAsia="黑体"/>
                <w:sz w:val="28"/>
              </w:rPr>
              <w:tab/>
            </w:r>
            <w:r>
              <w:rPr>
                <w:rFonts w:hint="eastAsia" w:ascii="黑体" w:eastAsia="黑体"/>
                <w:sz w:val="28"/>
              </w:rPr>
              <w:t>目</w:t>
            </w:r>
          </w:p>
        </w:tc>
        <w:tc>
          <w:tcPr>
            <w:tcW w:w="2136" w:type="dxa"/>
          </w:tcPr>
          <w:p>
            <w:pPr>
              <w:pStyle w:val="8"/>
              <w:tabs>
                <w:tab w:val="left" w:pos="1209"/>
              </w:tabs>
              <w:spacing w:before="169"/>
              <w:ind w:left="647"/>
              <w:rPr>
                <w:rFonts w:hint="eastAsia" w:ascii="黑体" w:eastAsia="黑体"/>
                <w:sz w:val="28"/>
              </w:rPr>
            </w:pPr>
            <w:bookmarkStart w:id="86" w:name="内  容"/>
            <w:bookmarkEnd w:id="86"/>
            <w:r>
              <w:rPr>
                <w:rFonts w:hint="eastAsia" w:ascii="黑体" w:eastAsia="黑体"/>
                <w:sz w:val="28"/>
              </w:rPr>
              <w:t>内</w:t>
            </w:r>
            <w:r>
              <w:rPr>
                <w:rFonts w:hint="eastAsia" w:ascii="黑体" w:eastAsia="黑体"/>
                <w:sz w:val="28"/>
              </w:rPr>
              <w:tab/>
            </w:r>
            <w:r>
              <w:rPr>
                <w:rFonts w:hint="eastAsia" w:ascii="黑体" w:eastAsia="黑体"/>
                <w:sz w:val="28"/>
              </w:rPr>
              <w:t>容</w:t>
            </w:r>
          </w:p>
        </w:tc>
        <w:tc>
          <w:tcPr>
            <w:tcW w:w="8012" w:type="dxa"/>
          </w:tcPr>
          <w:p>
            <w:pPr>
              <w:pStyle w:val="8"/>
              <w:spacing w:before="169"/>
              <w:ind w:left="3427" w:right="3414"/>
              <w:jc w:val="center"/>
              <w:rPr>
                <w:rFonts w:hint="eastAsia" w:ascii="黑体" w:eastAsia="黑体"/>
                <w:sz w:val="28"/>
              </w:rPr>
            </w:pPr>
            <w:bookmarkStart w:id="87" w:name="具体指标"/>
            <w:bookmarkEnd w:id="87"/>
            <w:r>
              <w:rPr>
                <w:rFonts w:hint="eastAsia" w:ascii="黑体" w:eastAsia="黑体"/>
                <w:sz w:val="28"/>
              </w:rPr>
              <w:t>具体指标</w:t>
            </w:r>
          </w:p>
        </w:tc>
        <w:tc>
          <w:tcPr>
            <w:tcW w:w="1535" w:type="dxa"/>
          </w:tcPr>
          <w:p>
            <w:pPr>
              <w:pStyle w:val="8"/>
              <w:spacing w:before="169"/>
              <w:ind w:left="486"/>
              <w:rPr>
                <w:rFonts w:hint="eastAsia" w:ascii="黑体" w:eastAsia="黑体"/>
                <w:sz w:val="28"/>
              </w:rPr>
            </w:pPr>
            <w:bookmarkStart w:id="88" w:name="备注"/>
            <w:bookmarkEnd w:id="88"/>
            <w:r>
              <w:rPr>
                <w:rFonts w:hint="eastAsia" w:ascii="黑体" w:eastAsia="黑体"/>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6"/>
              <w:rPr>
                <w:rFonts w:ascii="方正小标宋简体"/>
                <w:sz w:val="15"/>
              </w:rPr>
            </w:pPr>
          </w:p>
          <w:p>
            <w:pPr>
              <w:pStyle w:val="8"/>
              <w:ind w:left="159" w:right="151"/>
              <w:jc w:val="center"/>
              <w:rPr>
                <w:sz w:val="24"/>
              </w:rPr>
            </w:pPr>
            <w:bookmarkStart w:id="89" w:name="32"/>
            <w:bookmarkEnd w:id="89"/>
            <w:r>
              <w:rPr>
                <w:sz w:val="24"/>
              </w:rPr>
              <w:t>32</w:t>
            </w:r>
          </w:p>
        </w:tc>
        <w:tc>
          <w:tcPr>
            <w:tcW w:w="2131" w:type="dxa"/>
            <w:vMerge w:val="restart"/>
          </w:tcPr>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rPr>
                <w:rFonts w:ascii="方正小标宋简体"/>
                <w:sz w:val="24"/>
              </w:rPr>
            </w:pPr>
          </w:p>
          <w:p>
            <w:pPr>
              <w:pStyle w:val="8"/>
              <w:spacing w:before="2"/>
              <w:rPr>
                <w:rFonts w:ascii="方正小标宋简体"/>
                <w:sz w:val="32"/>
              </w:rPr>
            </w:pPr>
          </w:p>
          <w:p>
            <w:pPr>
              <w:pStyle w:val="8"/>
              <w:spacing w:line="312" w:lineRule="auto"/>
              <w:ind w:left="344" w:right="54" w:hanging="236"/>
              <w:rPr>
                <w:sz w:val="24"/>
              </w:rPr>
            </w:pPr>
            <w:bookmarkStart w:id="90" w:name="居住小区“十大环境问题”整治"/>
            <w:bookmarkEnd w:id="90"/>
            <w:bookmarkStart w:id="91" w:name="33"/>
            <w:bookmarkEnd w:id="91"/>
            <w:bookmarkStart w:id="92" w:name="34"/>
            <w:bookmarkEnd w:id="92"/>
            <w:bookmarkStart w:id="93" w:name="35"/>
            <w:bookmarkEnd w:id="93"/>
            <w:r>
              <w:rPr>
                <w:sz w:val="24"/>
              </w:rPr>
              <w:t>居住小区“十大环</w:t>
            </w:r>
            <w:bookmarkStart w:id="94" w:name="36"/>
            <w:bookmarkEnd w:id="94"/>
            <w:r>
              <w:rPr>
                <w:sz w:val="24"/>
              </w:rPr>
              <w:t>境问题”整治</w:t>
            </w:r>
          </w:p>
        </w:tc>
        <w:tc>
          <w:tcPr>
            <w:tcW w:w="2136" w:type="dxa"/>
          </w:tcPr>
          <w:p>
            <w:pPr>
              <w:pStyle w:val="8"/>
              <w:spacing w:line="400" w:lineRule="exact"/>
              <w:ind w:left="347" w:right="214" w:hanging="120"/>
              <w:rPr>
                <w:sz w:val="24"/>
              </w:rPr>
            </w:pPr>
            <w:bookmarkStart w:id="95" w:name="电动自行车消防安全整治行动"/>
            <w:bookmarkEnd w:id="95"/>
            <w:r>
              <w:rPr>
                <w:sz w:val="24"/>
              </w:rPr>
              <w:t>电动自行车消防安全整治行动</w:t>
            </w:r>
          </w:p>
        </w:tc>
        <w:tc>
          <w:tcPr>
            <w:tcW w:w="8012" w:type="dxa"/>
          </w:tcPr>
          <w:p>
            <w:pPr>
              <w:pStyle w:val="8"/>
              <w:spacing w:line="400" w:lineRule="exact"/>
              <w:ind w:left="107" w:right="78"/>
              <w:rPr>
                <w:sz w:val="24"/>
              </w:rPr>
            </w:pPr>
            <w:bookmarkStart w:id="96" w:name="对小区非机动车停车设施进行改造，采用疏堵结合的方式确保电动自行车停放、充电安全。"/>
            <w:bookmarkEnd w:id="96"/>
            <w:r>
              <w:rPr>
                <w:sz w:val="24"/>
              </w:rPr>
              <w:t>对小区非机动车停车设施进行改造，采用疏堵结合的方式确保电动自行车停放、充电安全。</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926" w:type="dxa"/>
          </w:tcPr>
          <w:p>
            <w:pPr>
              <w:pStyle w:val="8"/>
              <w:spacing w:before="2"/>
              <w:rPr>
                <w:rFonts w:ascii="方正小标宋简体"/>
                <w:sz w:val="27"/>
              </w:rPr>
            </w:pPr>
          </w:p>
          <w:p>
            <w:pPr>
              <w:pStyle w:val="8"/>
              <w:ind w:left="159" w:right="151"/>
              <w:jc w:val="center"/>
              <w:rPr>
                <w:sz w:val="24"/>
              </w:rPr>
            </w:pPr>
            <w:r>
              <w:rPr>
                <w:sz w:val="24"/>
              </w:rPr>
              <w:t>33</w:t>
            </w:r>
          </w:p>
        </w:tc>
        <w:tc>
          <w:tcPr>
            <w:tcW w:w="2131" w:type="dxa"/>
            <w:vMerge w:val="continue"/>
            <w:tcBorders>
              <w:top w:val="nil"/>
            </w:tcBorders>
          </w:tcPr>
          <w:p>
            <w:pPr>
              <w:rPr>
                <w:sz w:val="2"/>
                <w:szCs w:val="2"/>
              </w:rPr>
            </w:pPr>
          </w:p>
        </w:tc>
        <w:tc>
          <w:tcPr>
            <w:tcW w:w="2136" w:type="dxa"/>
            <w:vMerge w:val="restart"/>
          </w:tcPr>
          <w:p>
            <w:pPr>
              <w:pStyle w:val="8"/>
              <w:rPr>
                <w:rFonts w:ascii="方正小标宋简体"/>
                <w:sz w:val="24"/>
              </w:rPr>
            </w:pPr>
          </w:p>
          <w:p>
            <w:pPr>
              <w:pStyle w:val="8"/>
              <w:spacing w:before="5"/>
              <w:rPr>
                <w:rFonts w:ascii="方正小标宋简体"/>
                <w:sz w:val="26"/>
              </w:rPr>
            </w:pPr>
          </w:p>
          <w:p>
            <w:pPr>
              <w:pStyle w:val="8"/>
              <w:spacing w:before="1" w:line="312" w:lineRule="auto"/>
              <w:ind w:left="467" w:right="214" w:hanging="240"/>
              <w:rPr>
                <w:sz w:val="24"/>
              </w:rPr>
            </w:pPr>
            <w:bookmarkStart w:id="97" w:name="车辆占用消防通道整治行动"/>
            <w:bookmarkEnd w:id="97"/>
            <w:r>
              <w:rPr>
                <w:sz w:val="24"/>
              </w:rPr>
              <w:t>车辆占用消防通道整治行动</w:t>
            </w:r>
          </w:p>
        </w:tc>
        <w:tc>
          <w:tcPr>
            <w:tcW w:w="8012" w:type="dxa"/>
          </w:tcPr>
          <w:p>
            <w:pPr>
              <w:pStyle w:val="8"/>
              <w:spacing w:before="82" w:line="312" w:lineRule="auto"/>
              <w:ind w:left="107" w:right="78"/>
              <w:rPr>
                <w:sz w:val="24"/>
              </w:rPr>
            </w:pPr>
            <w:bookmarkStart w:id="98" w:name="加强日常巡查，及时劝阻不规范停车、占用或堵塞消防通道行为，及时挪移占用或堵塞消防"/>
            <w:bookmarkEnd w:id="98"/>
            <w:r>
              <w:rPr>
                <w:sz w:val="24"/>
              </w:rPr>
              <w:t>加强日常巡查，及时劝阻不规范停车、占用或堵塞消防通道行为，及时挪移占用或堵塞消防通道的车辆，并利用小区的宣传栏、微信平台、电子屏</w:t>
            </w:r>
          </w:p>
          <w:p>
            <w:pPr>
              <w:pStyle w:val="8"/>
              <w:spacing w:line="299" w:lineRule="exact"/>
              <w:ind w:left="107"/>
              <w:rPr>
                <w:sz w:val="24"/>
              </w:rPr>
            </w:pPr>
            <w:r>
              <w:rPr>
                <w:sz w:val="24"/>
              </w:rPr>
              <w:t>等途径予以曝光。</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5"/>
              <w:rPr>
                <w:rFonts w:ascii="方正小标宋简体"/>
                <w:sz w:val="15"/>
              </w:rPr>
            </w:pPr>
          </w:p>
          <w:p>
            <w:pPr>
              <w:pStyle w:val="8"/>
              <w:ind w:left="159" w:right="151"/>
              <w:jc w:val="center"/>
              <w:rPr>
                <w:sz w:val="24"/>
              </w:rPr>
            </w:pPr>
            <w:r>
              <w:rPr>
                <w:sz w:val="24"/>
              </w:rPr>
              <w:t>34</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1" w:line="400" w:lineRule="exact"/>
              <w:ind w:left="107" w:right="78"/>
              <w:rPr>
                <w:sz w:val="24"/>
              </w:rPr>
            </w:pPr>
            <w:bookmarkStart w:id="99" w:name="对长期违法占用、堵塞消防车通道，接到整改通知仍拒不纠正的，坚决依法进行处理。"/>
            <w:bookmarkEnd w:id="99"/>
            <w:r>
              <w:rPr>
                <w:sz w:val="24"/>
              </w:rPr>
              <w:t>对长期违法占用、堵塞消防车通道，接到整改通知仍拒不纠正的，坚决依法进行处理。</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926" w:type="dxa"/>
          </w:tcPr>
          <w:p>
            <w:pPr>
              <w:pStyle w:val="8"/>
              <w:spacing w:before="79" w:line="300" w:lineRule="exact"/>
              <w:ind w:left="159" w:right="151"/>
              <w:jc w:val="center"/>
              <w:rPr>
                <w:sz w:val="24"/>
              </w:rPr>
            </w:pPr>
            <w:r>
              <w:rPr>
                <w:sz w:val="24"/>
              </w:rPr>
              <w:t>35</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79" w:line="300" w:lineRule="exact"/>
              <w:ind w:left="107"/>
              <w:rPr>
                <w:sz w:val="24"/>
              </w:rPr>
            </w:pPr>
            <w:bookmarkStart w:id="100" w:name="对影响灭火救援行动、造成严重后果的，依法从重处理。"/>
            <w:bookmarkEnd w:id="100"/>
            <w:r>
              <w:rPr>
                <w:sz w:val="24"/>
              </w:rPr>
              <w:t>对影响灭火救援行动、造成严重后果的，依法从重处理。</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926" w:type="dxa"/>
          </w:tcPr>
          <w:p>
            <w:pPr>
              <w:pStyle w:val="8"/>
              <w:spacing w:before="16"/>
              <w:rPr>
                <w:rFonts w:ascii="方正小标宋简体"/>
                <w:sz w:val="15"/>
              </w:rPr>
            </w:pPr>
          </w:p>
          <w:p>
            <w:pPr>
              <w:pStyle w:val="8"/>
              <w:ind w:left="159" w:right="151"/>
              <w:jc w:val="center"/>
              <w:rPr>
                <w:sz w:val="24"/>
              </w:rPr>
            </w:pPr>
            <w:r>
              <w:rPr>
                <w:sz w:val="24"/>
              </w:rPr>
              <w:t>36</w:t>
            </w:r>
          </w:p>
        </w:tc>
        <w:tc>
          <w:tcPr>
            <w:tcW w:w="2131" w:type="dxa"/>
            <w:vMerge w:val="continue"/>
            <w:tcBorders>
              <w:top w:val="nil"/>
            </w:tcBorders>
          </w:tcPr>
          <w:p>
            <w:pPr>
              <w:rPr>
                <w:sz w:val="2"/>
                <w:szCs w:val="2"/>
              </w:rPr>
            </w:pPr>
          </w:p>
        </w:tc>
        <w:tc>
          <w:tcPr>
            <w:tcW w:w="2136" w:type="dxa"/>
            <w:vMerge w:val="restart"/>
          </w:tcPr>
          <w:p>
            <w:pPr>
              <w:pStyle w:val="8"/>
              <w:rPr>
                <w:rFonts w:ascii="方正小标宋简体"/>
                <w:sz w:val="24"/>
              </w:rPr>
            </w:pPr>
          </w:p>
          <w:p>
            <w:pPr>
              <w:pStyle w:val="8"/>
              <w:spacing w:before="12"/>
              <w:rPr>
                <w:rFonts w:ascii="方正小标宋简体"/>
                <w:sz w:val="14"/>
              </w:rPr>
            </w:pPr>
          </w:p>
          <w:p>
            <w:pPr>
              <w:pStyle w:val="8"/>
              <w:spacing w:before="1" w:line="312" w:lineRule="auto"/>
              <w:ind w:left="707" w:right="214" w:hanging="480"/>
              <w:rPr>
                <w:sz w:val="24"/>
              </w:rPr>
            </w:pPr>
            <w:bookmarkStart w:id="101" w:name="拆除违法建筑整治行动"/>
            <w:bookmarkEnd w:id="101"/>
            <w:r>
              <w:rPr>
                <w:sz w:val="24"/>
              </w:rPr>
              <w:t>拆除违法建筑整</w:t>
            </w:r>
            <w:bookmarkStart w:id="102" w:name="37"/>
            <w:bookmarkEnd w:id="102"/>
            <w:r>
              <w:rPr>
                <w:sz w:val="24"/>
              </w:rPr>
              <w:t>治行动</w:t>
            </w:r>
          </w:p>
        </w:tc>
        <w:tc>
          <w:tcPr>
            <w:tcW w:w="8012" w:type="dxa"/>
          </w:tcPr>
          <w:p>
            <w:pPr>
              <w:pStyle w:val="8"/>
              <w:spacing w:line="400" w:lineRule="exact"/>
              <w:ind w:left="107" w:right="78"/>
              <w:rPr>
                <w:sz w:val="24"/>
              </w:rPr>
            </w:pPr>
            <w:bookmarkStart w:id="103" w:name="针对居民私搭乱建、未经许可设置的非法牌匾广告以及挪作他用的公共设施等问题，开展执"/>
            <w:bookmarkEnd w:id="103"/>
            <w:r>
              <w:rPr>
                <w:sz w:val="24"/>
              </w:rPr>
              <w:t>针对居民私搭乱建、未经许可设置的非法牌匾广告以及挪作他用的公共设施等问题，开展执法拆除工作。</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926" w:type="dxa"/>
          </w:tcPr>
          <w:p>
            <w:pPr>
              <w:pStyle w:val="8"/>
              <w:spacing w:before="2"/>
              <w:rPr>
                <w:rFonts w:ascii="方正小标宋简体"/>
                <w:sz w:val="27"/>
              </w:rPr>
            </w:pPr>
          </w:p>
          <w:p>
            <w:pPr>
              <w:pStyle w:val="8"/>
              <w:ind w:left="159" w:right="151"/>
              <w:jc w:val="center"/>
              <w:rPr>
                <w:sz w:val="24"/>
              </w:rPr>
            </w:pPr>
            <w:r>
              <w:rPr>
                <w:sz w:val="24"/>
              </w:rPr>
              <w:t>37</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82" w:line="312" w:lineRule="auto"/>
              <w:ind w:left="107" w:right="78"/>
              <w:rPr>
                <w:sz w:val="24"/>
              </w:rPr>
            </w:pPr>
            <w:bookmarkStart w:id="104" w:name="针对居民圈占绿地、私搭晾衣绳、乱搭架空线、私设地锁等不文明行为，做好宣传引导，劝"/>
            <w:bookmarkEnd w:id="104"/>
            <w:r>
              <w:rPr>
                <w:sz w:val="24"/>
              </w:rPr>
              <w:t>针对居民圈占绿地、私搭晾衣绳、乱搭架空线、私设地锁等不文明行为， 做好宣传引导，劝导居民主动拆除，劝导无效的由属地组织拆除，并由执</w:t>
            </w:r>
          </w:p>
          <w:p>
            <w:pPr>
              <w:pStyle w:val="8"/>
              <w:spacing w:line="299" w:lineRule="exact"/>
              <w:ind w:left="107"/>
              <w:rPr>
                <w:sz w:val="24"/>
              </w:rPr>
            </w:pPr>
            <w:r>
              <w:rPr>
                <w:sz w:val="24"/>
              </w:rPr>
              <w:t>法部门进行处罚。</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926" w:type="dxa"/>
          </w:tcPr>
          <w:p>
            <w:pPr>
              <w:pStyle w:val="8"/>
              <w:spacing w:before="81" w:line="299" w:lineRule="exact"/>
              <w:ind w:left="159" w:right="151"/>
              <w:jc w:val="center"/>
              <w:rPr>
                <w:sz w:val="24"/>
              </w:rPr>
            </w:pPr>
            <w:bookmarkStart w:id="105" w:name="38"/>
            <w:bookmarkEnd w:id="105"/>
            <w:r>
              <w:rPr>
                <w:sz w:val="24"/>
              </w:rPr>
              <w:t>38</w:t>
            </w:r>
          </w:p>
        </w:tc>
        <w:tc>
          <w:tcPr>
            <w:tcW w:w="2131" w:type="dxa"/>
            <w:vMerge w:val="continue"/>
            <w:tcBorders>
              <w:top w:val="nil"/>
            </w:tcBorders>
          </w:tcPr>
          <w:p>
            <w:pPr>
              <w:rPr>
                <w:sz w:val="2"/>
                <w:szCs w:val="2"/>
              </w:rPr>
            </w:pPr>
          </w:p>
        </w:tc>
        <w:tc>
          <w:tcPr>
            <w:tcW w:w="2136" w:type="dxa"/>
            <w:vMerge w:val="restart"/>
          </w:tcPr>
          <w:p>
            <w:pPr>
              <w:pStyle w:val="8"/>
              <w:spacing w:before="9"/>
              <w:rPr>
                <w:rFonts w:ascii="方正小标宋简体"/>
                <w:sz w:val="27"/>
              </w:rPr>
            </w:pPr>
          </w:p>
          <w:p>
            <w:pPr>
              <w:pStyle w:val="8"/>
              <w:spacing w:line="312" w:lineRule="auto"/>
              <w:ind w:left="587" w:right="214" w:hanging="360"/>
              <w:rPr>
                <w:sz w:val="24"/>
              </w:rPr>
            </w:pPr>
            <w:bookmarkStart w:id="106" w:name="季节性环境治理整治行动"/>
            <w:bookmarkEnd w:id="106"/>
            <w:r>
              <w:rPr>
                <w:sz w:val="24"/>
              </w:rPr>
              <w:t>季节性环境治理</w:t>
            </w:r>
            <w:bookmarkStart w:id="107" w:name="39"/>
            <w:bookmarkEnd w:id="107"/>
            <w:r>
              <w:rPr>
                <w:sz w:val="24"/>
              </w:rPr>
              <w:t>整治行动</w:t>
            </w:r>
          </w:p>
        </w:tc>
        <w:tc>
          <w:tcPr>
            <w:tcW w:w="8012" w:type="dxa"/>
          </w:tcPr>
          <w:p>
            <w:pPr>
              <w:pStyle w:val="8"/>
              <w:spacing w:before="81" w:line="299" w:lineRule="exact"/>
              <w:ind w:left="107"/>
              <w:rPr>
                <w:sz w:val="24"/>
              </w:rPr>
            </w:pPr>
            <w:bookmarkStart w:id="108" w:name="制定社区季节性环境整治工作方案。"/>
            <w:bookmarkEnd w:id="108"/>
            <w:r>
              <w:rPr>
                <w:sz w:val="24"/>
              </w:rPr>
              <w:t>制定社区季节性环境整治工作方案。</w:t>
            </w:r>
          </w:p>
        </w:tc>
        <w:tc>
          <w:tcPr>
            <w:tcW w:w="153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926" w:type="dxa"/>
          </w:tcPr>
          <w:p>
            <w:pPr>
              <w:pStyle w:val="8"/>
              <w:spacing w:before="2"/>
              <w:rPr>
                <w:rFonts w:ascii="方正小标宋简体"/>
                <w:sz w:val="27"/>
              </w:rPr>
            </w:pPr>
          </w:p>
          <w:p>
            <w:pPr>
              <w:pStyle w:val="8"/>
              <w:ind w:left="159" w:right="151"/>
              <w:jc w:val="center"/>
              <w:rPr>
                <w:sz w:val="24"/>
              </w:rPr>
            </w:pPr>
            <w:r>
              <w:rPr>
                <w:sz w:val="24"/>
              </w:rPr>
              <w:t>39</w:t>
            </w:r>
          </w:p>
        </w:tc>
        <w:tc>
          <w:tcPr>
            <w:tcW w:w="2131" w:type="dxa"/>
            <w:vMerge w:val="continue"/>
            <w:tcBorders>
              <w:top w:val="nil"/>
            </w:tcBorders>
          </w:tcPr>
          <w:p>
            <w:pPr>
              <w:rPr>
                <w:sz w:val="2"/>
                <w:szCs w:val="2"/>
              </w:rPr>
            </w:pPr>
          </w:p>
        </w:tc>
        <w:tc>
          <w:tcPr>
            <w:tcW w:w="2136" w:type="dxa"/>
            <w:vMerge w:val="continue"/>
            <w:tcBorders>
              <w:top w:val="nil"/>
            </w:tcBorders>
          </w:tcPr>
          <w:p>
            <w:pPr>
              <w:rPr>
                <w:sz w:val="2"/>
                <w:szCs w:val="2"/>
              </w:rPr>
            </w:pPr>
          </w:p>
        </w:tc>
        <w:tc>
          <w:tcPr>
            <w:tcW w:w="8012" w:type="dxa"/>
          </w:tcPr>
          <w:p>
            <w:pPr>
              <w:pStyle w:val="8"/>
              <w:spacing w:before="82" w:line="312" w:lineRule="auto"/>
              <w:ind w:left="107" w:right="78"/>
              <w:rPr>
                <w:sz w:val="24"/>
              </w:rPr>
            </w:pPr>
            <w:bookmarkStart w:id="109" w:name="春季及时对居住区裸露地面进行补种绿植花草；夏季结合汛期防汛，及时清理路面积水及倒"/>
            <w:bookmarkEnd w:id="109"/>
            <w:r>
              <w:rPr>
                <w:sz w:val="24"/>
              </w:rPr>
              <w:t>春季及时对居住区裸露地面进行补种绿植花草；夏季结合汛期防汛，及时清理路面积水及倒伏树木；秋季针对干枯树叶随落随清，禁止将干枯树叶</w:t>
            </w:r>
          </w:p>
          <w:p>
            <w:pPr>
              <w:pStyle w:val="8"/>
              <w:spacing w:line="299" w:lineRule="exact"/>
              <w:ind w:left="107"/>
              <w:rPr>
                <w:sz w:val="24"/>
              </w:rPr>
            </w:pPr>
            <w:r>
              <w:rPr>
                <w:sz w:val="24"/>
              </w:rPr>
              <w:t>就地焚烧；冬季做好居住区内扫雪铲冰。</w:t>
            </w:r>
          </w:p>
        </w:tc>
        <w:tc>
          <w:tcPr>
            <w:tcW w:w="1535" w:type="dxa"/>
          </w:tcPr>
          <w:p>
            <w:pPr>
              <w:pStyle w:val="8"/>
              <w:rPr>
                <w:rFonts w:ascii="Times New Roman"/>
                <w:sz w:val="24"/>
              </w:rPr>
            </w:pPr>
          </w:p>
        </w:tc>
      </w:tr>
    </w:tbl>
    <w:p>
      <w:pPr>
        <w:spacing w:after="0"/>
        <w:rPr>
          <w:rFonts w:ascii="Times New Roman"/>
          <w:sz w:val="24"/>
        </w:rPr>
        <w:sectPr>
          <w:pgSz w:w="16840" w:h="11910" w:orient="landscape"/>
          <w:pgMar w:top="0" w:right="780" w:bottom="1800" w:left="880" w:header="0" w:footer="1609" w:gutter="0"/>
        </w:sect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spacing w:before="2"/>
        <w:rPr>
          <w:rFonts w:ascii="方正小标宋简体"/>
          <w:sz w:val="11"/>
        </w:rPr>
      </w:pPr>
    </w:p>
    <w:p>
      <w:pPr>
        <w:spacing w:after="0"/>
        <w:rPr>
          <w:rFonts w:ascii="方正小标宋简体"/>
          <w:sz w:val="11"/>
        </w:rPr>
        <w:sectPr>
          <w:pgSz w:w="16840" w:h="11910" w:orient="landscape"/>
          <w:pgMar w:top="0" w:right="780" w:bottom="1800" w:left="880" w:header="0" w:footer="1609" w:gutter="0"/>
        </w:sectPr>
      </w:pPr>
    </w:p>
    <w:p>
      <w:pPr>
        <w:pStyle w:val="3"/>
        <w:spacing w:before="54"/>
        <w:ind w:left="1104"/>
        <w:rPr>
          <w:rFonts w:hint="eastAsia" w:ascii="黑体" w:eastAsia="黑体"/>
        </w:rPr>
      </w:pPr>
      <w:r>
        <w:rPr>
          <w:rFonts w:hint="eastAsia" w:ascii="黑体" w:eastAsia="黑体"/>
          <w:spacing w:val="-29"/>
        </w:rPr>
        <w:t xml:space="preserve">附件 </w:t>
      </w:r>
      <w:r>
        <w:rPr>
          <w:rFonts w:hint="eastAsia" w:ascii="黑体" w:eastAsia="黑体"/>
        </w:rPr>
        <w:t>2</w:t>
      </w:r>
    </w:p>
    <w:p>
      <w:pPr>
        <w:pStyle w:val="2"/>
        <w:spacing w:before="424"/>
        <w:ind w:right="0"/>
        <w:jc w:val="left"/>
      </w:pPr>
      <w:r>
        <w:br w:type="column"/>
      </w:r>
      <w:r>
        <w:t>西红门镇小区等级评定情况汇总表</w:t>
      </w:r>
    </w:p>
    <w:p>
      <w:pPr>
        <w:spacing w:after="0"/>
        <w:jc w:val="left"/>
        <w:sectPr>
          <w:type w:val="continuous"/>
          <w:pgSz w:w="16840" w:h="11910" w:orient="landscape"/>
          <w:pgMar w:top="1580" w:right="780" w:bottom="280" w:left="880" w:header="720" w:footer="720" w:gutter="0"/>
          <w:cols w:equalWidth="0" w:num="2">
            <w:col w:w="2020" w:space="997"/>
            <w:col w:w="12163"/>
          </w:cols>
        </w:sectPr>
      </w:pPr>
    </w:p>
    <w:p>
      <w:pPr>
        <w:pStyle w:val="3"/>
        <w:spacing w:before="1"/>
        <w:rPr>
          <w:rFonts w:ascii="方正小标宋简体"/>
          <w:sz w:val="25"/>
        </w:rPr>
      </w:pPr>
      <w:r>
        <w:pict>
          <v:shape id="_x0000_s1048" o:spid="_x0000_s1048" o:spt="136" type="#_x0000_t136" style="position:absolute;left:0pt;margin-left:137.4pt;margin-top:278.1pt;height:48pt;width:576pt;mso-position-horizontal-relative:page;mso-position-vertical-relative:page;rotation:20643840f;z-index:-25312870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tbl>
      <w:tblPr>
        <w:tblStyle w:val="4"/>
        <w:tblW w:w="1474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828"/>
        <w:gridCol w:w="5792"/>
        <w:gridCol w:w="6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00" w:type="dxa"/>
          </w:tcPr>
          <w:p>
            <w:pPr>
              <w:pStyle w:val="8"/>
              <w:spacing w:before="136" w:line="287" w:lineRule="exact"/>
              <w:ind w:left="190" w:right="180"/>
              <w:jc w:val="center"/>
              <w:rPr>
                <w:rFonts w:hint="eastAsia" w:ascii="黑体" w:eastAsia="黑体"/>
                <w:sz w:val="24"/>
              </w:rPr>
            </w:pPr>
            <w:r>
              <w:rPr>
                <w:rFonts w:hint="eastAsia" w:ascii="黑体" w:eastAsia="黑体"/>
                <w:sz w:val="24"/>
              </w:rPr>
              <w:t>序号</w:t>
            </w:r>
          </w:p>
        </w:tc>
        <w:tc>
          <w:tcPr>
            <w:tcW w:w="1828" w:type="dxa"/>
          </w:tcPr>
          <w:p>
            <w:pPr>
              <w:pStyle w:val="8"/>
              <w:spacing w:before="136" w:line="287" w:lineRule="exact"/>
              <w:ind w:left="433"/>
              <w:rPr>
                <w:rFonts w:hint="eastAsia" w:ascii="黑体" w:eastAsia="黑体"/>
                <w:sz w:val="24"/>
              </w:rPr>
            </w:pPr>
            <w:r>
              <w:rPr>
                <w:rFonts w:hint="eastAsia" w:ascii="黑体" w:eastAsia="黑体"/>
                <w:sz w:val="24"/>
              </w:rPr>
              <w:t>小区等级</w:t>
            </w:r>
          </w:p>
        </w:tc>
        <w:tc>
          <w:tcPr>
            <w:tcW w:w="5792" w:type="dxa"/>
          </w:tcPr>
          <w:p>
            <w:pPr>
              <w:pStyle w:val="8"/>
              <w:spacing w:before="136" w:line="287" w:lineRule="exact"/>
              <w:ind w:left="2396" w:right="2385"/>
              <w:jc w:val="center"/>
              <w:rPr>
                <w:rFonts w:hint="eastAsia" w:ascii="黑体" w:eastAsia="黑体"/>
                <w:sz w:val="24"/>
              </w:rPr>
            </w:pPr>
            <w:r>
              <w:rPr>
                <w:rFonts w:hint="eastAsia" w:ascii="黑体" w:eastAsia="黑体"/>
                <w:sz w:val="24"/>
              </w:rPr>
              <w:t>小区名称</w:t>
            </w:r>
          </w:p>
        </w:tc>
        <w:tc>
          <w:tcPr>
            <w:tcW w:w="6220" w:type="dxa"/>
          </w:tcPr>
          <w:p>
            <w:pPr>
              <w:pStyle w:val="8"/>
              <w:spacing w:before="136" w:line="287" w:lineRule="exact"/>
              <w:ind w:left="2849" w:right="2841"/>
              <w:jc w:val="center"/>
              <w:rPr>
                <w:rFonts w:hint="eastAsia" w:ascii="黑体" w:eastAsia="黑体"/>
                <w:sz w:val="24"/>
              </w:rPr>
            </w:pPr>
            <w:r>
              <w:rPr>
                <w:rFonts w:hint="eastAsia" w:ascii="黑体" w:eastAsia="黑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00" w:type="dxa"/>
          </w:tcPr>
          <w:p>
            <w:pPr>
              <w:pStyle w:val="8"/>
              <w:spacing w:before="136" w:line="288" w:lineRule="exact"/>
              <w:ind w:left="10"/>
              <w:jc w:val="center"/>
              <w:rPr>
                <w:sz w:val="24"/>
              </w:rPr>
            </w:pPr>
            <w:r>
              <w:rPr>
                <w:sz w:val="24"/>
              </w:rPr>
              <w:t>1</w:t>
            </w:r>
          </w:p>
        </w:tc>
        <w:tc>
          <w:tcPr>
            <w:tcW w:w="1828" w:type="dxa"/>
            <w:vMerge w:val="restart"/>
          </w:tcPr>
          <w:p>
            <w:pPr>
              <w:pStyle w:val="8"/>
              <w:spacing w:before="9"/>
              <w:rPr>
                <w:rFonts w:ascii="方正小标宋简体"/>
                <w:sz w:val="29"/>
              </w:rPr>
            </w:pPr>
          </w:p>
          <w:p>
            <w:pPr>
              <w:pStyle w:val="8"/>
              <w:ind w:left="433"/>
              <w:rPr>
                <w:sz w:val="24"/>
              </w:rPr>
            </w:pPr>
            <w:r>
              <w:rPr>
                <w:sz w:val="24"/>
              </w:rPr>
              <w:t>精品小区</w:t>
            </w: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900" w:type="dxa"/>
          </w:tcPr>
          <w:p>
            <w:pPr>
              <w:pStyle w:val="8"/>
              <w:spacing w:before="138" w:line="286" w:lineRule="exact"/>
              <w:ind w:left="10"/>
              <w:jc w:val="center"/>
              <w:rPr>
                <w:sz w:val="24"/>
              </w:rPr>
            </w:pPr>
            <w:r>
              <w:rPr>
                <w:sz w:val="24"/>
              </w:rPr>
              <w:t>2</w:t>
            </w:r>
          </w:p>
        </w:tc>
        <w:tc>
          <w:tcPr>
            <w:tcW w:w="1828" w:type="dxa"/>
            <w:vMerge w:val="continue"/>
            <w:tcBorders>
              <w:top w:val="nil"/>
            </w:tcBorders>
          </w:tcPr>
          <w:p>
            <w:pPr>
              <w:rPr>
                <w:sz w:val="2"/>
                <w:szCs w:val="2"/>
              </w:rPr>
            </w:pP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00" w:type="dxa"/>
          </w:tcPr>
          <w:p>
            <w:pPr>
              <w:pStyle w:val="8"/>
              <w:spacing w:before="137" w:line="286" w:lineRule="exact"/>
              <w:ind w:left="10"/>
              <w:jc w:val="center"/>
              <w:rPr>
                <w:sz w:val="24"/>
              </w:rPr>
            </w:pPr>
            <w:r>
              <w:rPr>
                <w:sz w:val="24"/>
              </w:rPr>
              <w:t>3</w:t>
            </w:r>
          </w:p>
        </w:tc>
        <w:tc>
          <w:tcPr>
            <w:tcW w:w="1828" w:type="dxa"/>
            <w:vMerge w:val="continue"/>
            <w:tcBorders>
              <w:top w:val="nil"/>
            </w:tcBorders>
          </w:tcPr>
          <w:p>
            <w:pPr>
              <w:rPr>
                <w:sz w:val="2"/>
                <w:szCs w:val="2"/>
              </w:rPr>
            </w:pP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900" w:type="dxa"/>
          </w:tcPr>
          <w:p>
            <w:pPr>
              <w:pStyle w:val="8"/>
              <w:spacing w:before="137" w:line="287" w:lineRule="exact"/>
              <w:ind w:left="10"/>
              <w:jc w:val="center"/>
              <w:rPr>
                <w:sz w:val="24"/>
              </w:rPr>
            </w:pPr>
            <w:r>
              <w:rPr>
                <w:sz w:val="24"/>
              </w:rPr>
              <w:t>4</w:t>
            </w:r>
          </w:p>
        </w:tc>
        <w:tc>
          <w:tcPr>
            <w:tcW w:w="1828" w:type="dxa"/>
            <w:vMerge w:val="restart"/>
          </w:tcPr>
          <w:p>
            <w:pPr>
              <w:pStyle w:val="8"/>
              <w:rPr>
                <w:rFonts w:ascii="方正小标宋简体"/>
                <w:sz w:val="24"/>
              </w:rPr>
            </w:pPr>
          </w:p>
          <w:p>
            <w:pPr>
              <w:pStyle w:val="8"/>
              <w:spacing w:before="6"/>
              <w:rPr>
                <w:rFonts w:ascii="方正小标宋简体"/>
                <w:sz w:val="18"/>
              </w:rPr>
            </w:pPr>
          </w:p>
          <w:p>
            <w:pPr>
              <w:pStyle w:val="8"/>
              <w:ind w:left="433"/>
              <w:rPr>
                <w:sz w:val="24"/>
              </w:rPr>
            </w:pPr>
            <w:r>
              <w:rPr>
                <w:sz w:val="24"/>
              </w:rPr>
              <w:t>达标小区</w:t>
            </w: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00" w:type="dxa"/>
          </w:tcPr>
          <w:p>
            <w:pPr>
              <w:pStyle w:val="8"/>
              <w:spacing w:before="137" w:line="287" w:lineRule="exact"/>
              <w:ind w:left="10"/>
              <w:jc w:val="center"/>
              <w:rPr>
                <w:sz w:val="24"/>
              </w:rPr>
            </w:pPr>
            <w:r>
              <w:rPr>
                <w:sz w:val="24"/>
              </w:rPr>
              <w:t>5</w:t>
            </w:r>
          </w:p>
        </w:tc>
        <w:tc>
          <w:tcPr>
            <w:tcW w:w="1828" w:type="dxa"/>
            <w:vMerge w:val="continue"/>
            <w:tcBorders>
              <w:top w:val="nil"/>
            </w:tcBorders>
          </w:tcPr>
          <w:p>
            <w:pPr>
              <w:rPr>
                <w:sz w:val="2"/>
                <w:szCs w:val="2"/>
              </w:rPr>
            </w:pP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00" w:type="dxa"/>
          </w:tcPr>
          <w:p>
            <w:pPr>
              <w:pStyle w:val="8"/>
              <w:spacing w:before="136" w:line="287" w:lineRule="exact"/>
              <w:ind w:left="10"/>
              <w:jc w:val="center"/>
              <w:rPr>
                <w:sz w:val="24"/>
              </w:rPr>
            </w:pPr>
            <w:r>
              <w:rPr>
                <w:sz w:val="24"/>
              </w:rPr>
              <w:t>6</w:t>
            </w:r>
          </w:p>
        </w:tc>
        <w:tc>
          <w:tcPr>
            <w:tcW w:w="1828" w:type="dxa"/>
            <w:vMerge w:val="continue"/>
            <w:tcBorders>
              <w:top w:val="nil"/>
            </w:tcBorders>
          </w:tcPr>
          <w:p>
            <w:pPr>
              <w:rPr>
                <w:sz w:val="2"/>
                <w:szCs w:val="2"/>
              </w:rPr>
            </w:pP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00" w:type="dxa"/>
          </w:tcPr>
          <w:p>
            <w:pPr>
              <w:pStyle w:val="8"/>
              <w:spacing w:before="136" w:line="288" w:lineRule="exact"/>
              <w:ind w:left="10"/>
              <w:jc w:val="center"/>
              <w:rPr>
                <w:sz w:val="24"/>
              </w:rPr>
            </w:pPr>
            <w:r>
              <w:rPr>
                <w:sz w:val="24"/>
              </w:rPr>
              <w:t>7</w:t>
            </w:r>
          </w:p>
        </w:tc>
        <w:tc>
          <w:tcPr>
            <w:tcW w:w="1828" w:type="dxa"/>
            <w:vMerge w:val="continue"/>
            <w:tcBorders>
              <w:top w:val="nil"/>
            </w:tcBorders>
          </w:tcPr>
          <w:p>
            <w:pPr>
              <w:rPr>
                <w:sz w:val="2"/>
                <w:szCs w:val="2"/>
              </w:rPr>
            </w:pP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900" w:type="dxa"/>
          </w:tcPr>
          <w:p>
            <w:pPr>
              <w:pStyle w:val="8"/>
              <w:spacing w:before="138" w:line="286" w:lineRule="exact"/>
              <w:ind w:left="10"/>
              <w:jc w:val="center"/>
              <w:rPr>
                <w:sz w:val="24"/>
              </w:rPr>
            </w:pPr>
            <w:r>
              <w:rPr>
                <w:sz w:val="24"/>
              </w:rPr>
              <w:t>8</w:t>
            </w:r>
          </w:p>
        </w:tc>
        <w:tc>
          <w:tcPr>
            <w:tcW w:w="1828" w:type="dxa"/>
            <w:vMerge w:val="restart"/>
          </w:tcPr>
          <w:p>
            <w:pPr>
              <w:pStyle w:val="8"/>
              <w:spacing w:before="13"/>
              <w:rPr>
                <w:rFonts w:ascii="方正小标宋简体"/>
                <w:sz w:val="16"/>
              </w:rPr>
            </w:pPr>
          </w:p>
          <w:p>
            <w:pPr>
              <w:pStyle w:val="8"/>
              <w:ind w:left="433"/>
              <w:rPr>
                <w:sz w:val="24"/>
              </w:rPr>
            </w:pPr>
            <w:r>
              <w:rPr>
                <w:sz w:val="24"/>
              </w:rPr>
              <w:t>提升小区</w:t>
            </w: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00" w:type="dxa"/>
          </w:tcPr>
          <w:p>
            <w:pPr>
              <w:pStyle w:val="8"/>
              <w:spacing w:before="138" w:line="286" w:lineRule="exact"/>
              <w:ind w:left="10"/>
              <w:jc w:val="center"/>
              <w:rPr>
                <w:sz w:val="24"/>
              </w:rPr>
            </w:pPr>
            <w:r>
              <w:rPr>
                <w:sz w:val="24"/>
              </w:rPr>
              <w:t>9</w:t>
            </w:r>
          </w:p>
        </w:tc>
        <w:tc>
          <w:tcPr>
            <w:tcW w:w="1828" w:type="dxa"/>
            <w:vMerge w:val="continue"/>
            <w:tcBorders>
              <w:top w:val="nil"/>
            </w:tcBorders>
          </w:tcPr>
          <w:p>
            <w:pPr>
              <w:rPr>
                <w:sz w:val="2"/>
                <w:szCs w:val="2"/>
              </w:rPr>
            </w:pP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00" w:type="dxa"/>
          </w:tcPr>
          <w:p>
            <w:pPr>
              <w:pStyle w:val="8"/>
              <w:spacing w:before="137" w:line="287" w:lineRule="exact"/>
              <w:ind w:left="190" w:right="180"/>
              <w:jc w:val="center"/>
              <w:rPr>
                <w:sz w:val="24"/>
              </w:rPr>
            </w:pPr>
            <w:r>
              <w:rPr>
                <w:sz w:val="24"/>
              </w:rPr>
              <w:t>10</w:t>
            </w:r>
          </w:p>
        </w:tc>
        <w:tc>
          <w:tcPr>
            <w:tcW w:w="1828" w:type="dxa"/>
            <w:vMerge w:val="restart"/>
          </w:tcPr>
          <w:p>
            <w:pPr>
              <w:pStyle w:val="8"/>
              <w:spacing w:before="10"/>
              <w:rPr>
                <w:rFonts w:ascii="方正小标宋简体"/>
                <w:sz w:val="29"/>
              </w:rPr>
            </w:pPr>
          </w:p>
          <w:p>
            <w:pPr>
              <w:pStyle w:val="8"/>
              <w:ind w:left="433"/>
              <w:rPr>
                <w:sz w:val="24"/>
              </w:rPr>
            </w:pPr>
            <w:r>
              <w:rPr>
                <w:sz w:val="24"/>
              </w:rPr>
              <w:t>挂账小区</w:t>
            </w: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00" w:type="dxa"/>
          </w:tcPr>
          <w:p>
            <w:pPr>
              <w:pStyle w:val="8"/>
              <w:spacing w:before="137" w:line="287" w:lineRule="exact"/>
              <w:ind w:left="190" w:right="180"/>
              <w:jc w:val="center"/>
              <w:rPr>
                <w:sz w:val="24"/>
              </w:rPr>
            </w:pPr>
            <w:r>
              <w:rPr>
                <w:sz w:val="24"/>
              </w:rPr>
              <w:t>11</w:t>
            </w:r>
          </w:p>
        </w:tc>
        <w:tc>
          <w:tcPr>
            <w:tcW w:w="1828" w:type="dxa"/>
            <w:vMerge w:val="continue"/>
            <w:tcBorders>
              <w:top w:val="nil"/>
            </w:tcBorders>
          </w:tcPr>
          <w:p>
            <w:pPr>
              <w:rPr>
                <w:sz w:val="2"/>
                <w:szCs w:val="2"/>
              </w:rPr>
            </w:pPr>
          </w:p>
        </w:tc>
        <w:tc>
          <w:tcPr>
            <w:tcW w:w="5792" w:type="dxa"/>
          </w:tcPr>
          <w:p>
            <w:pPr>
              <w:pStyle w:val="8"/>
              <w:rPr>
                <w:rFonts w:ascii="Times New Roman"/>
                <w:sz w:val="34"/>
              </w:rPr>
            </w:pPr>
          </w:p>
        </w:tc>
        <w:tc>
          <w:tcPr>
            <w:tcW w:w="6220" w:type="dxa"/>
          </w:tcPr>
          <w:p>
            <w:pPr>
              <w:pStyle w:val="8"/>
              <w:rPr>
                <w:rFonts w:ascii="Times New Roman"/>
                <w:sz w:val="3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00" w:type="dxa"/>
          </w:tcPr>
          <w:p>
            <w:pPr>
              <w:pStyle w:val="8"/>
              <w:spacing w:before="136" w:line="287" w:lineRule="exact"/>
              <w:ind w:left="190" w:right="180"/>
              <w:jc w:val="center"/>
              <w:rPr>
                <w:sz w:val="24"/>
              </w:rPr>
            </w:pPr>
            <w:r>
              <w:rPr>
                <w:sz w:val="24"/>
              </w:rPr>
              <w:t>12</w:t>
            </w:r>
          </w:p>
        </w:tc>
        <w:tc>
          <w:tcPr>
            <w:tcW w:w="1828" w:type="dxa"/>
            <w:vMerge w:val="continue"/>
            <w:tcBorders>
              <w:top w:val="nil"/>
            </w:tcBorders>
          </w:tcPr>
          <w:p>
            <w:pPr>
              <w:rPr>
                <w:sz w:val="2"/>
                <w:szCs w:val="2"/>
              </w:rPr>
            </w:pPr>
          </w:p>
        </w:tc>
        <w:tc>
          <w:tcPr>
            <w:tcW w:w="5792" w:type="dxa"/>
          </w:tcPr>
          <w:p>
            <w:pPr>
              <w:pStyle w:val="8"/>
              <w:rPr>
                <w:rFonts w:ascii="Times New Roman"/>
                <w:sz w:val="34"/>
              </w:rPr>
            </w:pPr>
          </w:p>
        </w:tc>
        <w:tc>
          <w:tcPr>
            <w:tcW w:w="6220" w:type="dxa"/>
          </w:tcPr>
          <w:p>
            <w:pPr>
              <w:pStyle w:val="8"/>
              <w:rPr>
                <w:rFonts w:ascii="Times New Roman"/>
                <w:sz w:val="34"/>
              </w:rPr>
            </w:pPr>
          </w:p>
        </w:tc>
      </w:tr>
    </w:tbl>
    <w:p>
      <w:pPr>
        <w:spacing w:after="0"/>
        <w:rPr>
          <w:rFonts w:ascii="Times New Roman"/>
          <w:sz w:val="34"/>
        </w:rPr>
        <w:sectPr>
          <w:type w:val="continuous"/>
          <w:pgSz w:w="16840" w:h="11910" w:orient="landscape"/>
          <w:pgMar w:top="1580" w:right="780" w:bottom="280" w:left="880" w:header="720" w:footer="720" w:gutter="0"/>
        </w:sectPr>
      </w:pPr>
    </w:p>
    <w:p>
      <w:pPr>
        <w:pStyle w:val="3"/>
        <w:rPr>
          <w:rFonts w:ascii="方正小标宋简体"/>
          <w:sz w:val="20"/>
        </w:rPr>
      </w:pPr>
      <w:r>
        <w:pict>
          <v:shape id="_x0000_s1049" o:spid="_x0000_s1049" o:spt="136" type="#_x0000_t136" style="position:absolute;left:0pt;margin-left:137.4pt;margin-top:278.1pt;height:48pt;width:576pt;mso-position-horizontal-relative:page;mso-position-vertical-relative:page;rotation:20643840f;z-index:-253127680;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spacing w:before="2"/>
        <w:rPr>
          <w:rFonts w:ascii="方正小标宋简体"/>
          <w:sz w:val="11"/>
        </w:rPr>
      </w:pPr>
    </w:p>
    <w:p>
      <w:pPr>
        <w:pStyle w:val="3"/>
        <w:spacing w:before="54"/>
        <w:ind w:left="1104"/>
        <w:rPr>
          <w:rFonts w:hint="eastAsia" w:ascii="黑体" w:eastAsia="黑体"/>
        </w:rPr>
      </w:pPr>
      <w:r>
        <w:rPr>
          <w:rFonts w:hint="eastAsia" w:ascii="黑体" w:eastAsia="黑体"/>
        </w:rPr>
        <w:t>附件 3</w:t>
      </w:r>
    </w:p>
    <w:p>
      <w:pPr>
        <w:pStyle w:val="3"/>
        <w:rPr>
          <w:rFonts w:ascii="黑体"/>
          <w:sz w:val="20"/>
        </w:rPr>
      </w:pPr>
    </w:p>
    <w:p>
      <w:pPr>
        <w:pStyle w:val="3"/>
        <w:rPr>
          <w:rFonts w:ascii="黑体"/>
          <w:sz w:val="18"/>
        </w:rPr>
      </w:pPr>
    </w:p>
    <w:p>
      <w:pPr>
        <w:pStyle w:val="2"/>
        <w:spacing w:line="751" w:lineRule="exact"/>
        <w:ind w:left="5423" w:right="5756"/>
      </w:pPr>
      <w:r>
        <w:t>各单位联络员信息表</w:t>
      </w:r>
    </w:p>
    <w:p>
      <w:pPr>
        <w:pStyle w:val="3"/>
        <w:spacing w:before="1"/>
        <w:rPr>
          <w:rFonts w:ascii="方正小标宋简体"/>
          <w:sz w:val="25"/>
        </w:rPr>
      </w:pPr>
    </w:p>
    <w:tbl>
      <w:tblPr>
        <w:tblStyle w:val="4"/>
        <w:tblW w:w="12972" w:type="dxa"/>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2"/>
        <w:gridCol w:w="3243"/>
        <w:gridCol w:w="3243"/>
        <w:gridCol w:w="3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3242" w:type="dxa"/>
          </w:tcPr>
          <w:p>
            <w:pPr>
              <w:pStyle w:val="8"/>
              <w:spacing w:before="263"/>
              <w:ind w:left="581"/>
              <w:rPr>
                <w:rFonts w:hint="eastAsia" w:ascii="黑体" w:eastAsia="黑体"/>
                <w:sz w:val="32"/>
              </w:rPr>
            </w:pPr>
            <w:r>
              <w:rPr>
                <w:rFonts w:hint="eastAsia" w:ascii="黑体" w:eastAsia="黑体"/>
                <w:sz w:val="32"/>
              </w:rPr>
              <w:t>科室/社区名称</w:t>
            </w:r>
          </w:p>
        </w:tc>
        <w:tc>
          <w:tcPr>
            <w:tcW w:w="3243" w:type="dxa"/>
          </w:tcPr>
          <w:p>
            <w:pPr>
              <w:pStyle w:val="8"/>
              <w:spacing w:before="263"/>
              <w:ind w:left="1281" w:right="1270"/>
              <w:jc w:val="center"/>
              <w:rPr>
                <w:rFonts w:hint="eastAsia" w:ascii="黑体" w:eastAsia="黑体"/>
                <w:sz w:val="32"/>
              </w:rPr>
            </w:pPr>
            <w:r>
              <w:rPr>
                <w:rFonts w:hint="eastAsia" w:ascii="黑体" w:eastAsia="黑体"/>
                <w:sz w:val="32"/>
              </w:rPr>
              <w:t>姓名</w:t>
            </w:r>
          </w:p>
        </w:tc>
        <w:tc>
          <w:tcPr>
            <w:tcW w:w="3243" w:type="dxa"/>
          </w:tcPr>
          <w:p>
            <w:pPr>
              <w:pStyle w:val="8"/>
              <w:spacing w:before="263"/>
              <w:ind w:left="1281" w:right="1271"/>
              <w:jc w:val="center"/>
              <w:rPr>
                <w:rFonts w:hint="eastAsia" w:ascii="黑体" w:eastAsia="黑体"/>
                <w:sz w:val="32"/>
              </w:rPr>
            </w:pPr>
            <w:r>
              <w:rPr>
                <w:rFonts w:hint="eastAsia" w:ascii="黑体" w:eastAsia="黑体"/>
                <w:sz w:val="32"/>
              </w:rPr>
              <w:t>职务</w:t>
            </w:r>
          </w:p>
        </w:tc>
        <w:tc>
          <w:tcPr>
            <w:tcW w:w="3244" w:type="dxa"/>
          </w:tcPr>
          <w:p>
            <w:pPr>
              <w:pStyle w:val="8"/>
              <w:spacing w:before="263"/>
              <w:ind w:left="1280" w:right="1273"/>
              <w:jc w:val="center"/>
              <w:rPr>
                <w:rFonts w:hint="eastAsia" w:ascii="黑体" w:eastAsia="黑体"/>
                <w:sz w:val="32"/>
              </w:rPr>
            </w:pPr>
            <w:r>
              <w:rPr>
                <w:rFonts w:hint="eastAsia" w:ascii="黑体" w:eastAsia="黑体"/>
                <w:sz w:val="3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2" w:hRule="atLeast"/>
        </w:trPr>
        <w:tc>
          <w:tcPr>
            <w:tcW w:w="3242" w:type="dxa"/>
          </w:tcPr>
          <w:p>
            <w:pPr>
              <w:pStyle w:val="8"/>
              <w:rPr>
                <w:rFonts w:ascii="Times New Roman"/>
                <w:sz w:val="52"/>
              </w:rPr>
            </w:pPr>
          </w:p>
        </w:tc>
        <w:tc>
          <w:tcPr>
            <w:tcW w:w="3243" w:type="dxa"/>
          </w:tcPr>
          <w:p>
            <w:pPr>
              <w:pStyle w:val="8"/>
              <w:rPr>
                <w:rFonts w:ascii="Times New Roman"/>
                <w:sz w:val="52"/>
              </w:rPr>
            </w:pPr>
          </w:p>
        </w:tc>
        <w:tc>
          <w:tcPr>
            <w:tcW w:w="3243" w:type="dxa"/>
          </w:tcPr>
          <w:p>
            <w:pPr>
              <w:pStyle w:val="8"/>
              <w:rPr>
                <w:rFonts w:ascii="Times New Roman"/>
                <w:sz w:val="52"/>
              </w:rPr>
            </w:pPr>
          </w:p>
        </w:tc>
        <w:tc>
          <w:tcPr>
            <w:tcW w:w="3244" w:type="dxa"/>
          </w:tcPr>
          <w:p>
            <w:pPr>
              <w:pStyle w:val="8"/>
              <w:rPr>
                <w:rFonts w:ascii="Times New Roman"/>
                <w:sz w:val="52"/>
              </w:rPr>
            </w:pPr>
          </w:p>
        </w:tc>
      </w:tr>
    </w:tbl>
    <w:p>
      <w:pPr>
        <w:spacing w:after="0"/>
        <w:rPr>
          <w:rFonts w:ascii="Times New Roman"/>
          <w:sz w:val="52"/>
        </w:rPr>
        <w:sectPr>
          <w:pgSz w:w="16840" w:h="11910" w:orient="landscape"/>
          <w:pgMar w:top="0" w:right="780" w:bottom="1800" w:left="880" w:header="0" w:footer="1609" w:gutter="0"/>
        </w:sectPr>
      </w:pPr>
    </w:p>
    <w:p>
      <w:pPr>
        <w:pStyle w:val="3"/>
        <w:rPr>
          <w:rFonts w:ascii="方正小标宋简体"/>
          <w:sz w:val="20"/>
        </w:rPr>
      </w:pPr>
      <w:r>
        <w:pict>
          <v:shape id="_x0000_s1050" o:spid="_x0000_s1050" o:spt="136" type="#_x0000_t136" style="position:absolute;left:0pt;margin-left:14.1pt;margin-top:401.4pt;height:48pt;width:576pt;mso-position-horizontal-relative:page;mso-position-vertical-relative:page;rotation:20643840f;z-index:-253124608;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spacing w:before="4"/>
        <w:rPr>
          <w:rFonts w:ascii="方正小标宋简体"/>
          <w:sz w:val="26"/>
        </w:rPr>
      </w:pPr>
    </w:p>
    <w:p>
      <w:pPr>
        <w:pStyle w:val="3"/>
        <w:spacing w:before="54"/>
        <w:ind w:left="749"/>
        <w:rPr>
          <w:rFonts w:hint="eastAsia" w:ascii="黑体" w:eastAsia="黑体"/>
        </w:rPr>
      </w:pPr>
      <w:r>
        <w:pict>
          <v:shape id="_x0000_s1051" o:spid="_x0000_s1051" style="position:absolute;left:0pt;margin-left:82.3pt;margin-top:26.4pt;height:0.1pt;width:442.2pt;mso-position-horizontal-relative:page;mso-wrap-distance-bottom:0pt;mso-wrap-distance-top:0pt;z-index:-251634688;mso-width-relative:page;mso-height-relative:page;" filled="f" stroked="t" coordorigin="1646,529" coordsize="8844,0" path="m1646,529l10490,529e">
            <v:path arrowok="t"/>
            <v:fill on="f" focussize="0,0"/>
            <v:stroke weight="1pt" color="#000000"/>
            <v:imagedata o:title=""/>
            <o:lock v:ext="edit"/>
            <w10:wrap type="topAndBottom"/>
          </v:shape>
        </w:pict>
      </w:r>
      <w:r>
        <w:rPr>
          <w:rFonts w:hint="eastAsia" w:ascii="黑体" w:eastAsia="黑体"/>
        </w:rPr>
        <w:t>此文件主动公开</w:t>
      </w:r>
    </w:p>
    <w:p>
      <w:pPr>
        <w:tabs>
          <w:tab w:val="left" w:pos="6257"/>
        </w:tabs>
        <w:spacing w:before="109" w:after="43"/>
        <w:ind w:left="504" w:right="0" w:firstLine="0"/>
        <w:jc w:val="left"/>
        <w:rPr>
          <w:sz w:val="28"/>
        </w:rPr>
      </w:pPr>
      <w:r>
        <w:rPr>
          <w:sz w:val="28"/>
        </w:rPr>
        <w:t>北京市大兴区西红门镇党</w:t>
      </w:r>
      <w:r>
        <w:rPr>
          <w:spacing w:val="-3"/>
          <w:sz w:val="28"/>
        </w:rPr>
        <w:t>政</w:t>
      </w:r>
      <w:r>
        <w:rPr>
          <w:sz w:val="28"/>
        </w:rPr>
        <w:t>办公室</w:t>
      </w:r>
      <w:r>
        <w:rPr>
          <w:sz w:val="28"/>
        </w:rPr>
        <w:tab/>
      </w:r>
      <w:r>
        <w:rPr>
          <w:sz w:val="28"/>
        </w:rPr>
        <w:t>2022</w:t>
      </w:r>
      <w:r>
        <w:rPr>
          <w:spacing w:val="-72"/>
          <w:sz w:val="28"/>
        </w:rPr>
        <w:t xml:space="preserve"> </w:t>
      </w:r>
      <w:r>
        <w:rPr>
          <w:sz w:val="28"/>
        </w:rPr>
        <w:t>年</w:t>
      </w:r>
      <w:r>
        <w:rPr>
          <w:spacing w:val="-71"/>
          <w:sz w:val="28"/>
        </w:rPr>
        <w:t xml:space="preserve"> </w:t>
      </w:r>
      <w:r>
        <w:rPr>
          <w:sz w:val="28"/>
        </w:rPr>
        <w:t>3</w:t>
      </w:r>
      <w:r>
        <w:rPr>
          <w:spacing w:val="-70"/>
          <w:sz w:val="28"/>
        </w:rPr>
        <w:t xml:space="preserve"> </w:t>
      </w:r>
      <w:r>
        <w:rPr>
          <w:sz w:val="28"/>
        </w:rPr>
        <w:t>月</w:t>
      </w:r>
      <w:r>
        <w:rPr>
          <w:spacing w:val="-70"/>
          <w:sz w:val="28"/>
        </w:rPr>
        <w:t xml:space="preserve"> </w:t>
      </w:r>
      <w:r>
        <w:rPr>
          <w:sz w:val="28"/>
        </w:rPr>
        <w:t>7</w:t>
      </w:r>
      <w:r>
        <w:rPr>
          <w:spacing w:val="-70"/>
          <w:sz w:val="28"/>
        </w:rPr>
        <w:t xml:space="preserve"> </w:t>
      </w:r>
      <w:r>
        <w:rPr>
          <w:spacing w:val="-3"/>
          <w:sz w:val="28"/>
        </w:rPr>
        <w:t>日</w:t>
      </w:r>
      <w:r>
        <w:rPr>
          <w:sz w:val="28"/>
        </w:rPr>
        <w:t>印发</w:t>
      </w:r>
    </w:p>
    <w:p>
      <w:pPr>
        <w:pStyle w:val="3"/>
        <w:spacing w:line="20" w:lineRule="exact"/>
        <w:ind w:left="140"/>
        <w:rPr>
          <w:sz w:val="2"/>
        </w:rPr>
      </w:pPr>
      <w:r>
        <w:rPr>
          <w:sz w:val="2"/>
        </w:rPr>
        <w:pict>
          <v:group id="_x0000_s1052" o:spid="_x0000_s1052" o:spt="203" style="height:1pt;width:442.2pt;" coordsize="8844,20">
            <o:lock v:ext="edit"/>
            <v:line id="_x0000_s1053" o:spid="_x0000_s1053" o:spt="20" style="position:absolute;left:0;top:10;height:0;width:8844;" stroked="t" coordsize="21600,21600">
              <v:path arrowok="t"/>
              <v:fill focussize="0,0"/>
              <v:stroke weight="1pt" color="#000000"/>
              <v:imagedata o:title=""/>
              <o:lock v:ext="edit"/>
            </v:line>
            <w10:wrap type="none"/>
            <w10:anchorlock/>
          </v:group>
        </w:pict>
      </w:r>
    </w:p>
    <w:p>
      <w:pPr>
        <w:spacing w:before="70"/>
        <w:ind w:left="106" w:right="0" w:firstLine="0"/>
        <w:jc w:val="left"/>
        <w:rPr>
          <w:sz w:val="28"/>
        </w:rPr>
      </w:pPr>
      <w:r>
        <w:rPr>
          <w:sz w:val="28"/>
        </w:rPr>
        <w:t>- 20 -</w:t>
      </w:r>
    </w:p>
    <w:p>
      <w:pPr>
        <w:spacing w:after="0"/>
        <w:jc w:val="left"/>
        <w:rPr>
          <w:sz w:val="28"/>
        </w:rPr>
        <w:sectPr>
          <w:footerReference r:id="rId9" w:type="even"/>
          <w:pgSz w:w="11910" w:h="16840"/>
          <w:pgMar w:top="1580" w:right="0" w:bottom="280" w:left="1480" w:header="0" w:footer="0" w:gutter="0"/>
        </w:sectPr>
      </w:pPr>
    </w:p>
    <w:p>
      <w:pPr>
        <w:pStyle w:val="3"/>
        <w:rPr>
          <w:sz w:val="20"/>
        </w:rPr>
      </w:pPr>
      <w:r>
        <w:pict>
          <v:shape id="_x0000_s1054" o:spid="_x0000_s1054" o:spt="136" type="#_x0000_t136" style="position:absolute;left:0pt;margin-left:14.1pt;margin-top:401.4pt;height:48pt;width:576pt;mso-position-horizontal-relative:page;mso-position-vertical-relative:page;rotation:20643840f;z-index:-25312358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3"/>
        <w:rPr>
          <w:sz w:val="14"/>
        </w:rPr>
      </w:pPr>
    </w:p>
    <w:p>
      <w:pPr>
        <w:spacing w:before="61"/>
        <w:ind w:left="0" w:right="1472" w:firstLine="0"/>
        <w:jc w:val="right"/>
        <w:rPr>
          <w:sz w:val="28"/>
        </w:rPr>
      </w:pPr>
      <w:r>
        <w:rPr>
          <w:sz w:val="28"/>
        </w:rPr>
        <w:t>- 21 -</w:t>
      </w:r>
    </w:p>
    <w:sectPr>
      <w:footerReference r:id="rId10" w:type="default"/>
      <w:pgSz w:w="11910" w:h="16840"/>
      <w:pgMar w:top="1580" w:right="0" w:bottom="280" w:left="14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485.6pt;margin-top:746.45pt;height:16.05pt;width:37pt;mso-position-horizontal-relative:page;mso-position-vertical-relative:page;z-index:-25314918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3</w:t>
                </w:r>
                <w:r>
                  <w:fldChar w:fldCharType="end"/>
                </w:r>
                <w:r>
                  <w:rPr>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78.3pt;margin-top:746.45pt;height:16.05pt;width:37.15pt;mso-position-horizontal-relative:page;mso-position-vertical-relative:page;z-index:-25315020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478.6pt;margin-top:746.45pt;height:16.05pt;width:43.95pt;mso-position-horizontal-relative:page;mso-position-vertical-relative:page;z-index:-25314713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78.3pt;margin-top:746.45pt;height:16.05pt;width:44.1pt;mso-position-horizontal-relative:page;mso-position-vertical-relative:page;z-index:-253148160;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4" o:spid="_x0000_s2054" o:spt="202" type="#_x0000_t202" style="position:absolute;left:0pt;margin-left:694pt;margin-top:499.85pt;height:16.05pt;width:43.95pt;mso-position-horizontal-relative:page;mso-position-vertical-relative:page;z-index:-25314508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15</w:t>
                </w:r>
                <w:r>
                  <w:fldChar w:fldCharType="end"/>
                </w:r>
                <w:r>
                  <w:rPr>
                    <w:sz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3" o:spid="_x0000_s2053" o:spt="202" type="#_x0000_t202" style="position:absolute;left:0pt;margin-left:98.2pt;margin-top:499.85pt;height:16.05pt;width:43.95pt;mso-position-horizontal-relative:page;mso-position-vertical-relative:page;z-index:-25314611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14</w:t>
                </w:r>
                <w:r>
                  <w:fldChar w:fldCharType="end"/>
                </w:r>
                <w:r>
                  <w:rPr>
                    <w:sz w:val="2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5"/>
      <w:numFmt w:val="decimal"/>
      <w:lvlText w:val="（%1）"/>
      <w:lvlJc w:val="left"/>
      <w:pPr>
        <w:ind w:left="166" w:hanging="803"/>
        <w:jc w:val="left"/>
      </w:pPr>
      <w:rPr>
        <w:rFonts w:hint="default" w:ascii="仿宋_GB2312" w:hAnsi="仿宋_GB2312" w:eastAsia="仿宋_GB2312" w:cs="仿宋_GB2312"/>
        <w:spacing w:val="-15"/>
        <w:w w:val="99"/>
        <w:sz w:val="30"/>
        <w:szCs w:val="30"/>
        <w:lang w:val="zh-CN" w:eastAsia="zh-CN" w:bidi="zh-CN"/>
      </w:rPr>
    </w:lvl>
    <w:lvl w:ilvl="1" w:tentative="0">
      <w:start w:val="2"/>
      <w:numFmt w:val="decimal"/>
      <w:lvlText w:val="%2."/>
      <w:lvlJc w:val="left"/>
      <w:pPr>
        <w:ind w:left="2093" w:hanging="322"/>
        <w:jc w:val="left"/>
      </w:pPr>
      <w:rPr>
        <w:rFonts w:hint="default" w:ascii="仿宋_GB2312" w:hAnsi="仿宋_GB2312" w:eastAsia="仿宋_GB2312" w:cs="仿宋_GB2312"/>
        <w:spacing w:val="-2"/>
        <w:w w:val="99"/>
        <w:sz w:val="30"/>
        <w:szCs w:val="30"/>
        <w:lang w:val="zh-CN" w:eastAsia="zh-CN" w:bidi="zh-CN"/>
      </w:rPr>
    </w:lvl>
    <w:lvl w:ilvl="2" w:tentative="0">
      <w:start w:val="0"/>
      <w:numFmt w:val="bullet"/>
      <w:lvlText w:val="•"/>
      <w:lvlJc w:val="left"/>
      <w:pPr>
        <w:ind w:left="3031" w:hanging="322"/>
      </w:pPr>
      <w:rPr>
        <w:rFonts w:hint="default"/>
        <w:lang w:val="zh-CN" w:eastAsia="zh-CN" w:bidi="zh-CN"/>
      </w:rPr>
    </w:lvl>
    <w:lvl w:ilvl="3" w:tentative="0">
      <w:start w:val="0"/>
      <w:numFmt w:val="bullet"/>
      <w:lvlText w:val="•"/>
      <w:lvlJc w:val="left"/>
      <w:pPr>
        <w:ind w:left="3963" w:hanging="322"/>
      </w:pPr>
      <w:rPr>
        <w:rFonts w:hint="default"/>
        <w:lang w:val="zh-CN" w:eastAsia="zh-CN" w:bidi="zh-CN"/>
      </w:rPr>
    </w:lvl>
    <w:lvl w:ilvl="4" w:tentative="0">
      <w:start w:val="0"/>
      <w:numFmt w:val="bullet"/>
      <w:lvlText w:val="•"/>
      <w:lvlJc w:val="left"/>
      <w:pPr>
        <w:ind w:left="4895" w:hanging="322"/>
      </w:pPr>
      <w:rPr>
        <w:rFonts w:hint="default"/>
        <w:lang w:val="zh-CN" w:eastAsia="zh-CN" w:bidi="zh-CN"/>
      </w:rPr>
    </w:lvl>
    <w:lvl w:ilvl="5" w:tentative="0">
      <w:start w:val="0"/>
      <w:numFmt w:val="bullet"/>
      <w:lvlText w:val="•"/>
      <w:lvlJc w:val="left"/>
      <w:pPr>
        <w:ind w:left="5827" w:hanging="322"/>
      </w:pPr>
      <w:rPr>
        <w:rFonts w:hint="default"/>
        <w:lang w:val="zh-CN" w:eastAsia="zh-CN" w:bidi="zh-CN"/>
      </w:rPr>
    </w:lvl>
    <w:lvl w:ilvl="6" w:tentative="0">
      <w:start w:val="0"/>
      <w:numFmt w:val="bullet"/>
      <w:lvlText w:val="•"/>
      <w:lvlJc w:val="left"/>
      <w:pPr>
        <w:ind w:left="6758" w:hanging="322"/>
      </w:pPr>
      <w:rPr>
        <w:rFonts w:hint="default"/>
        <w:lang w:val="zh-CN" w:eastAsia="zh-CN" w:bidi="zh-CN"/>
      </w:rPr>
    </w:lvl>
    <w:lvl w:ilvl="7" w:tentative="0">
      <w:start w:val="0"/>
      <w:numFmt w:val="bullet"/>
      <w:lvlText w:val="•"/>
      <w:lvlJc w:val="left"/>
      <w:pPr>
        <w:ind w:left="7690" w:hanging="322"/>
      </w:pPr>
      <w:rPr>
        <w:rFonts w:hint="default"/>
        <w:lang w:val="zh-CN" w:eastAsia="zh-CN" w:bidi="zh-CN"/>
      </w:rPr>
    </w:lvl>
    <w:lvl w:ilvl="8" w:tentative="0">
      <w:start w:val="0"/>
      <w:numFmt w:val="bullet"/>
      <w:lvlText w:val="•"/>
      <w:lvlJc w:val="left"/>
      <w:pPr>
        <w:ind w:left="8622" w:hanging="3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5F3F7F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1104" w:right="1704"/>
      <w:jc w:val="center"/>
      <w:outlineLvl w:val="1"/>
    </w:pPr>
    <w:rPr>
      <w:rFonts w:ascii="方正小标宋简体" w:hAnsi="方正小标宋简体" w:eastAsia="方正小标宋简体" w:cs="方正小标宋简体"/>
      <w:sz w:val="44"/>
      <w:szCs w:val="44"/>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spacing w:before="130"/>
      <w:ind w:left="2093" w:hanging="322"/>
    </w:pPr>
    <w:rPr>
      <w:rFonts w:ascii="仿宋_GB2312" w:hAnsi="仿宋_GB2312" w:eastAsia="仿宋_GB2312" w:cs="仿宋_GB2312"/>
      <w:lang w:val="zh-CN" w:eastAsia="zh-CN" w:bidi="zh-CN"/>
    </w:rPr>
  </w:style>
  <w:style w:type="paragraph" w:customStyle="1" w:styleId="8">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2052"/>
    <customShpInfo spid="_x0000_s2051"/>
    <customShpInfo spid="_x0000_s2054"/>
    <customShpInfo spid="_x0000_s2053"/>
    <customShpInfo spid="_x0000_s1026"/>
    <customShpInfo spid="_x0000_s1028"/>
    <customShpInfo spid="_x0000_s1029"/>
    <customShpInfo spid="_x0000_s1027"/>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3"/>
    <customShpInfo spid="_x0000_s1052"/>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2022-07-12T07:30:00Z</dcterms:created>
  <dc:creator>微软用户</dc:creator>
  <cp:lastModifiedBy>月</cp:lastModifiedBy>
  <dcterms:modified xsi:type="dcterms:W3CDTF">2022-07-12T07:35:46Z</dcterms:modified>
  <dc:title>兴西发〔     〕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WPS 文字</vt:lpwstr>
  </property>
  <property fmtid="{D5CDD505-2E9C-101B-9397-08002B2CF9AE}" pid="4" name="LastSaved">
    <vt:filetime>2022-07-12T00:00:00Z</vt:filetime>
  </property>
  <property fmtid="{D5CDD505-2E9C-101B-9397-08002B2CF9AE}" pid="5" name="KSOProductBuildVer">
    <vt:lpwstr>2052-11.8.2.8696</vt:lpwstr>
  </property>
</Properties>
</file>