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rPr>
          <w:rFonts w:asciiTheme="minorHAnsi" w:hAnsiTheme="minorHAnsi" w:cstheme="minorHAnsi"/>
          <w:sz w:val="36"/>
          <w:szCs w:val="28"/>
        </w:rPr>
      </w:pPr>
      <w:bookmarkStart w:id="0" w:name="_Hlk101972767"/>
      <w:bookmarkEnd w:id="0"/>
      <w:bookmarkStart w:id="1" w:name="_Toc41219822"/>
      <w:bookmarkStart w:id="2" w:name="_Toc531869934"/>
      <w:bookmarkStart w:id="3" w:name="_Toc27496318"/>
      <w:bookmarkStart w:id="69" w:name="_GoBack"/>
      <w:bookmarkEnd w:id="69"/>
    </w:p>
    <w:p>
      <w:pPr>
        <w:pStyle w:val="13"/>
        <w:widowControl/>
      </w:pPr>
    </w:p>
    <w:p>
      <w:pPr>
        <w:pStyle w:val="13"/>
        <w:widowControl/>
      </w:pPr>
    </w:p>
    <w:p>
      <w:pPr>
        <w:pStyle w:val="13"/>
        <w:widowControl/>
        <w:spacing w:after="0" w:afterLines="0" w:line="720" w:lineRule="auto"/>
        <w:rPr>
          <w:sz w:val="52"/>
          <w:szCs w:val="52"/>
        </w:rPr>
      </w:pPr>
      <w:r>
        <w:rPr>
          <w:sz w:val="52"/>
          <w:szCs w:val="52"/>
        </w:rPr>
        <w:t>北京市大兴区秸秆类废弃物综合利用行动方案（2023-2025年）</w:t>
      </w:r>
    </w:p>
    <w:p>
      <w:pPr>
        <w:widowControl/>
        <w:rPr>
          <w:rFonts w:asciiTheme="minorHAnsi" w:hAnsiTheme="minorHAnsi" w:cstheme="minorHAnsi"/>
        </w:rPr>
      </w:pPr>
    </w:p>
    <w:p>
      <w:pPr>
        <w:pStyle w:val="13"/>
        <w:widowControl/>
        <w:spacing w:after="0" w:afterLines="0" w:line="720" w:lineRule="auto"/>
      </w:pPr>
    </w:p>
    <w:p/>
    <w:p>
      <w:pPr>
        <w:pStyle w:val="13"/>
        <w:widowControl/>
        <w:spacing w:after="0" w:afterLines="0" w:line="720" w:lineRule="auto"/>
      </w:pPr>
    </w:p>
    <w:p/>
    <w:p/>
    <w:p/>
    <w:p>
      <w:pPr>
        <w:widowControl/>
        <w:rPr>
          <w:rFonts w:asciiTheme="minorHAnsi" w:hAnsiTheme="minorHAnsi" w:cstheme="minorHAnsi"/>
        </w:rPr>
      </w:pPr>
    </w:p>
    <w:p>
      <w:pPr>
        <w:pStyle w:val="13"/>
        <w:widowControl/>
        <w:spacing w:after="0" w:afterLines="0"/>
        <w:rPr>
          <w:sz w:val="32"/>
          <w:szCs w:val="24"/>
        </w:rPr>
      </w:pPr>
    </w:p>
    <w:p>
      <w:pPr>
        <w:pStyle w:val="13"/>
        <w:widowControl/>
        <w:spacing w:after="0" w:afterLines="0"/>
        <w:rPr>
          <w:sz w:val="32"/>
          <w:szCs w:val="24"/>
        </w:rPr>
      </w:pPr>
      <w:r>
        <w:rPr>
          <w:sz w:val="32"/>
          <w:szCs w:val="24"/>
        </w:rPr>
        <w:t>北京市大兴区农业农村局</w:t>
      </w:r>
    </w:p>
    <w:p>
      <w:pPr>
        <w:pStyle w:val="13"/>
        <w:widowControl/>
        <w:spacing w:after="0" w:afterLines="0"/>
        <w:rPr>
          <w:sz w:val="32"/>
          <w:szCs w:val="24"/>
        </w:rPr>
      </w:pPr>
      <w:r>
        <w:rPr>
          <w:sz w:val="32"/>
          <w:szCs w:val="24"/>
        </w:rPr>
        <w:t>二〇二</w:t>
      </w:r>
      <w:r>
        <w:rPr>
          <w:rFonts w:hint="eastAsia"/>
          <w:sz w:val="32"/>
          <w:szCs w:val="24"/>
        </w:rPr>
        <w:t>三</w:t>
      </w:r>
      <w:r>
        <w:rPr>
          <w:sz w:val="32"/>
          <w:szCs w:val="24"/>
        </w:rPr>
        <w:t>年</w:t>
      </w:r>
      <w:r>
        <w:rPr>
          <w:rFonts w:hint="eastAsia"/>
          <w:sz w:val="32"/>
          <w:szCs w:val="24"/>
          <w:lang w:eastAsia="zh-CN"/>
        </w:rPr>
        <w:t>四</w:t>
      </w:r>
      <w:r>
        <w:rPr>
          <w:sz w:val="32"/>
          <w:szCs w:val="24"/>
        </w:rPr>
        <w:t>月</w:t>
      </w:r>
    </w:p>
    <w:p/>
    <w:p>
      <w:pPr>
        <w:widowControl/>
        <w:spacing w:line="240" w:lineRule="auto"/>
        <w:jc w:val="left"/>
        <w:rPr>
          <w:rFonts w:asciiTheme="minorHAnsi" w:hAnsiTheme="minorHAnsi" w:cstheme="minorHAnsi"/>
          <w:sz w:val="36"/>
          <w:szCs w:val="36"/>
        </w:rPr>
      </w:pPr>
    </w:p>
    <w:p>
      <w:pPr>
        <w:widowControl/>
        <w:spacing w:line="240" w:lineRule="auto"/>
        <w:jc w:val="left"/>
        <w:rPr>
          <w:rFonts w:asciiTheme="minorHAnsi" w:hAnsiTheme="minorHAnsi" w:cstheme="minorHAnsi"/>
          <w:sz w:val="36"/>
          <w:szCs w:val="36"/>
        </w:rPr>
        <w:sectPr>
          <w:headerReference r:id="rId3" w:type="default"/>
          <w:footerReference r:id="rId4" w:type="default"/>
          <w:pgSz w:w="11906" w:h="16838"/>
          <w:pgMar w:top="1440" w:right="1701" w:bottom="1440" w:left="1701" w:header="851" w:footer="992" w:gutter="0"/>
          <w:cols w:space="425" w:num="1"/>
          <w:docGrid w:type="lines" w:linePitch="312" w:charSpace="0"/>
        </w:sectPr>
      </w:pPr>
    </w:p>
    <w:p>
      <w:pPr>
        <w:widowControl/>
        <w:spacing w:before="156" w:beforeLines="50" w:after="156" w:afterLines="50" w:line="360" w:lineRule="auto"/>
        <w:jc w:val="center"/>
        <w:rPr>
          <w:rFonts w:eastAsia="楷体_GB2312" w:asciiTheme="minorHAnsi" w:hAnsiTheme="minorHAnsi" w:cstheme="minorHAnsi"/>
          <w:b/>
          <w:bCs/>
          <w:sz w:val="36"/>
          <w:szCs w:val="28"/>
        </w:rPr>
      </w:pPr>
      <w:r>
        <w:rPr>
          <w:rFonts w:eastAsia="楷体_GB2312" w:asciiTheme="minorHAnsi" w:hAnsiTheme="minorHAnsi" w:cstheme="minorHAnsi"/>
          <w:b/>
          <w:bCs/>
          <w:sz w:val="36"/>
          <w:szCs w:val="28"/>
        </w:rPr>
        <w:t>前  言</w:t>
      </w:r>
    </w:p>
    <w:p>
      <w:pPr>
        <w:widowControl/>
        <w:ind w:firstLine="560" w:firstLineChars="200"/>
        <w:rPr>
          <w:rFonts w:asciiTheme="minorHAnsi" w:hAnsiTheme="minorHAnsi" w:cstheme="minorHAnsi"/>
        </w:rPr>
      </w:pPr>
      <w:r>
        <w:rPr>
          <w:rFonts w:asciiTheme="minorHAnsi" w:hAnsiTheme="minorHAnsi" w:cstheme="minorHAnsi"/>
        </w:rPr>
        <w:t>推进秸秆综合利用，是提升耕地质量、改善农业农村生态环境、加快农业绿色低碳发展的重要举措。“十三五”以来，国家大力开展秸秆综合利用重点县建设，支持各地因地制宜打造一批全域全量利用和产业化利用的典型样板。2022年4月农业农村部印发《关于做好2022年农作物秸秆综合利用工作的通知》（农办科〔2022〕12号），明确提出要完善秸秆综合利用方式，探索建立可推广、可持续的产业发展模式和高效利用机制，引领秸秆综合利用提质增效。</w:t>
      </w:r>
    </w:p>
    <w:p>
      <w:pPr>
        <w:widowControl/>
        <w:ind w:firstLine="560" w:firstLineChars="200"/>
        <w:rPr>
          <w:rFonts w:asciiTheme="minorHAnsi" w:hAnsiTheme="minorHAnsi" w:cstheme="minorHAnsi"/>
        </w:rPr>
      </w:pPr>
      <w:r>
        <w:rPr>
          <w:rFonts w:asciiTheme="minorHAnsi" w:hAnsiTheme="minorHAnsi" w:cstheme="minorHAnsi"/>
        </w:rPr>
        <w:t>2019年以来，北京市以提升耕地质量、改善农业农村环境、实现农业高质量发展、绿色发展为目标，大力开展秸秆综合利用重点区建设，推动农业生产向高质量绿色发展方式转变，对秸秆、瓜秧尾菜、果树枝条等废弃物资源化利用提出了更高要求。大兴区高度重视秸秆综合利用工作，贯彻落实国家、北京市的相关要求，先后印发《2020年度秸秆综合利用重点区建设项目实施方案》等政策文件，强化责任落实，扎实有序推进秸秆综合利用工作，为保障重要农产品供给、改善生态环境提供重要支撑。</w:t>
      </w:r>
    </w:p>
    <w:p>
      <w:pPr>
        <w:widowControl/>
        <w:ind w:firstLine="560" w:firstLineChars="200"/>
        <w:rPr>
          <w:rFonts w:asciiTheme="minorHAnsi" w:hAnsiTheme="minorHAnsi" w:cstheme="minorHAnsi"/>
        </w:rPr>
      </w:pPr>
      <w:r>
        <w:rPr>
          <w:rFonts w:asciiTheme="minorHAnsi" w:hAnsiTheme="minorHAnsi" w:cstheme="minorHAnsi"/>
        </w:rPr>
        <w:t>为理清工作思路，进一步提升大兴区农作物秸秆、瓜秧尾菜、果树枝条等秸秆类废弃物综合利用质量和效益，形成高质高效利用格局，促进全区农业农村绿色低碳高质量发展，特制定《北京市大兴区秸秆类废弃物综合利用行动方案（2023-2025年）》。</w:t>
      </w:r>
    </w:p>
    <w:p>
      <w:pPr>
        <w:widowControl/>
        <w:spacing w:line="240" w:lineRule="auto"/>
        <w:jc w:val="left"/>
        <w:rPr>
          <w:rFonts w:asciiTheme="minorHAnsi" w:hAnsiTheme="minorHAnsi" w:cstheme="minorHAnsi"/>
        </w:rPr>
      </w:pPr>
    </w:p>
    <w:p>
      <w:pPr>
        <w:widowControl/>
        <w:rPr>
          <w:rFonts w:asciiTheme="minorHAnsi" w:hAnsiTheme="minorHAnsi" w:cstheme="minorHAnsi"/>
        </w:rPr>
        <w:sectPr>
          <w:headerReference r:id="rId5" w:type="default"/>
          <w:footerReference r:id="rId6" w:type="default"/>
          <w:pgSz w:w="11906" w:h="16838"/>
          <w:pgMar w:top="1440" w:right="1800" w:bottom="1440" w:left="1800" w:header="851" w:footer="992" w:gutter="0"/>
          <w:pgNumType w:fmt="upperRoman" w:start="1"/>
          <w:cols w:space="425" w:num="1"/>
          <w:docGrid w:type="lines" w:linePitch="312" w:charSpace="0"/>
        </w:sectPr>
      </w:pPr>
    </w:p>
    <w:p>
      <w:pPr>
        <w:widowControl/>
        <w:jc w:val="center"/>
        <w:rPr>
          <w:rFonts w:asciiTheme="minorHAnsi" w:hAnsiTheme="minorHAnsi" w:cstheme="minorHAnsi"/>
          <w:b/>
          <w:bCs/>
          <w:sz w:val="36"/>
          <w:szCs w:val="28"/>
          <w:lang w:val="zh-CN"/>
        </w:rPr>
      </w:pPr>
      <w:r>
        <w:rPr>
          <w:rFonts w:asciiTheme="minorHAnsi" w:hAnsiTheme="minorHAnsi" w:cstheme="minorHAnsi"/>
          <w:b/>
          <w:bCs/>
          <w:sz w:val="36"/>
          <w:szCs w:val="28"/>
          <w:lang w:val="zh-CN"/>
        </w:rPr>
        <w:t>目  录</w:t>
      </w:r>
    </w:p>
    <w:p>
      <w:pPr>
        <w:widowControl/>
        <w:spacing w:line="240" w:lineRule="auto"/>
        <w:jc w:val="center"/>
        <w:rPr>
          <w:rFonts w:asciiTheme="minorHAnsi" w:hAnsiTheme="minorHAnsi" w:cstheme="minorHAnsi"/>
          <w:b/>
          <w:bCs/>
          <w:sz w:val="24"/>
          <w:szCs w:val="21"/>
          <w:lang w:val="zh-CN"/>
        </w:rPr>
      </w:pPr>
    </w:p>
    <w:p>
      <w:pPr>
        <w:pStyle w:val="10"/>
        <w:rPr>
          <w:rFonts w:asciiTheme="minorHAnsi" w:hAnsiTheme="minorHAnsi" w:eastAsiaTheme="minorEastAsia"/>
          <w:sz w:val="21"/>
        </w:rPr>
      </w:pPr>
      <w:r>
        <w:rPr>
          <w:rFonts w:asciiTheme="minorHAnsi" w:hAnsiTheme="minorHAnsi" w:cstheme="minorHAnsi"/>
          <w:b/>
          <w:sz w:val="36"/>
          <w:szCs w:val="36"/>
        </w:rPr>
        <w:fldChar w:fldCharType="begin"/>
      </w:r>
      <w:r>
        <w:rPr>
          <w:rFonts w:asciiTheme="minorHAnsi" w:hAnsiTheme="minorHAnsi" w:cstheme="minorHAnsi"/>
          <w:b/>
          <w:sz w:val="36"/>
          <w:szCs w:val="36"/>
        </w:rPr>
        <w:instrText xml:space="preserve"> TOC \o "1-2" \h \z \u </w:instrText>
      </w:r>
      <w:r>
        <w:rPr>
          <w:rFonts w:asciiTheme="minorHAnsi" w:hAnsiTheme="minorHAnsi" w:cstheme="minorHAnsi"/>
          <w:b/>
          <w:sz w:val="36"/>
          <w:szCs w:val="36"/>
        </w:rPr>
        <w:fldChar w:fldCharType="separate"/>
      </w:r>
      <w:r>
        <w:fldChar w:fldCharType="begin"/>
      </w:r>
      <w:r>
        <w:instrText xml:space="preserve"> HYPERLINK \l "_Toc119659780" </w:instrText>
      </w:r>
      <w:r>
        <w:fldChar w:fldCharType="separate"/>
      </w:r>
      <w:r>
        <w:rPr>
          <w:rStyle w:val="19"/>
        </w:rPr>
        <w:t>一、秸秆类废弃物利用现状</w:t>
      </w:r>
      <w:r>
        <w:tab/>
      </w:r>
      <w:r>
        <w:fldChar w:fldCharType="begin"/>
      </w:r>
      <w:r>
        <w:instrText xml:space="preserve"> PAGEREF _Toc119659780 \h </w:instrText>
      </w:r>
      <w:r>
        <w:fldChar w:fldCharType="separate"/>
      </w:r>
      <w:r>
        <w:t>1</w:t>
      </w:r>
      <w:r>
        <w:fldChar w:fldCharType="end"/>
      </w:r>
      <w:r>
        <w:fldChar w:fldCharType="end"/>
      </w:r>
    </w:p>
    <w:p>
      <w:pPr>
        <w:pStyle w:val="11"/>
        <w:rPr>
          <w:rFonts w:asciiTheme="minorHAnsi" w:hAnsiTheme="minorHAnsi" w:eastAsiaTheme="minorEastAsia"/>
          <w:sz w:val="21"/>
        </w:rPr>
      </w:pPr>
      <w:r>
        <w:fldChar w:fldCharType="begin"/>
      </w:r>
      <w:r>
        <w:instrText xml:space="preserve"> HYPERLINK \l "_Toc119659781" </w:instrText>
      </w:r>
      <w:r>
        <w:fldChar w:fldCharType="separate"/>
      </w:r>
      <w:r>
        <w:rPr>
          <w:rStyle w:val="19"/>
          <w:rFonts w:cstheme="minorHAnsi"/>
        </w:rPr>
        <w:t>（一）农业种植概况</w:t>
      </w:r>
      <w:r>
        <w:tab/>
      </w:r>
      <w:r>
        <w:fldChar w:fldCharType="begin"/>
      </w:r>
      <w:r>
        <w:instrText xml:space="preserve"> PAGEREF _Toc119659781 \h </w:instrText>
      </w:r>
      <w:r>
        <w:fldChar w:fldCharType="separate"/>
      </w:r>
      <w:r>
        <w:t>1</w:t>
      </w:r>
      <w:r>
        <w:fldChar w:fldCharType="end"/>
      </w:r>
      <w:r>
        <w:fldChar w:fldCharType="end"/>
      </w:r>
    </w:p>
    <w:p>
      <w:pPr>
        <w:pStyle w:val="11"/>
        <w:rPr>
          <w:rFonts w:asciiTheme="minorHAnsi" w:hAnsiTheme="minorHAnsi" w:eastAsiaTheme="minorEastAsia"/>
          <w:sz w:val="21"/>
        </w:rPr>
      </w:pPr>
      <w:r>
        <w:fldChar w:fldCharType="begin"/>
      </w:r>
      <w:r>
        <w:instrText xml:space="preserve"> HYPERLINK \l "_Toc119659782" </w:instrText>
      </w:r>
      <w:r>
        <w:fldChar w:fldCharType="separate"/>
      </w:r>
      <w:r>
        <w:rPr>
          <w:rStyle w:val="19"/>
          <w:rFonts w:cstheme="minorHAnsi"/>
        </w:rPr>
        <w:t>（二）秸秆类废弃物资源情况</w:t>
      </w:r>
      <w:r>
        <w:tab/>
      </w:r>
      <w:r>
        <w:fldChar w:fldCharType="begin"/>
      </w:r>
      <w:r>
        <w:instrText xml:space="preserve"> PAGEREF _Toc119659782 \h </w:instrText>
      </w:r>
      <w:r>
        <w:fldChar w:fldCharType="separate"/>
      </w:r>
      <w:r>
        <w:t>2</w:t>
      </w:r>
      <w:r>
        <w:fldChar w:fldCharType="end"/>
      </w:r>
      <w:r>
        <w:fldChar w:fldCharType="end"/>
      </w:r>
    </w:p>
    <w:p>
      <w:pPr>
        <w:pStyle w:val="11"/>
        <w:rPr>
          <w:rFonts w:asciiTheme="minorHAnsi" w:hAnsiTheme="minorHAnsi" w:eastAsiaTheme="minorEastAsia"/>
          <w:sz w:val="21"/>
        </w:rPr>
      </w:pPr>
      <w:r>
        <w:fldChar w:fldCharType="begin"/>
      </w:r>
      <w:r>
        <w:instrText xml:space="preserve"> HYPERLINK \l "_Toc119659783" </w:instrText>
      </w:r>
      <w:r>
        <w:fldChar w:fldCharType="separate"/>
      </w:r>
      <w:r>
        <w:rPr>
          <w:rStyle w:val="19"/>
          <w:rFonts w:cstheme="minorHAnsi"/>
        </w:rPr>
        <w:t>（三）秸秆类废弃物资源量预测</w:t>
      </w:r>
      <w:r>
        <w:tab/>
      </w:r>
      <w:r>
        <w:fldChar w:fldCharType="begin"/>
      </w:r>
      <w:r>
        <w:instrText xml:space="preserve"> PAGEREF _Toc119659783 \h </w:instrText>
      </w:r>
      <w:r>
        <w:fldChar w:fldCharType="separate"/>
      </w:r>
      <w:r>
        <w:t>4</w:t>
      </w:r>
      <w:r>
        <w:fldChar w:fldCharType="end"/>
      </w:r>
      <w:r>
        <w:fldChar w:fldCharType="end"/>
      </w:r>
    </w:p>
    <w:p>
      <w:pPr>
        <w:pStyle w:val="11"/>
        <w:rPr>
          <w:rFonts w:asciiTheme="minorHAnsi" w:hAnsiTheme="minorHAnsi" w:eastAsiaTheme="minorEastAsia"/>
          <w:sz w:val="21"/>
        </w:rPr>
      </w:pPr>
      <w:r>
        <w:fldChar w:fldCharType="begin"/>
      </w:r>
      <w:r>
        <w:instrText xml:space="preserve"> HYPERLINK \l "_Toc119659784" </w:instrText>
      </w:r>
      <w:r>
        <w:fldChar w:fldCharType="separate"/>
      </w:r>
      <w:r>
        <w:rPr>
          <w:rStyle w:val="19"/>
          <w:rFonts w:cstheme="minorHAnsi"/>
        </w:rPr>
        <w:t>（四）秸秆综合利用成效</w:t>
      </w:r>
      <w:r>
        <w:tab/>
      </w:r>
      <w:r>
        <w:fldChar w:fldCharType="begin"/>
      </w:r>
      <w:r>
        <w:instrText xml:space="preserve"> PAGEREF _Toc119659784 \h </w:instrText>
      </w:r>
      <w:r>
        <w:fldChar w:fldCharType="separate"/>
      </w:r>
      <w:r>
        <w:t>5</w:t>
      </w:r>
      <w:r>
        <w:fldChar w:fldCharType="end"/>
      </w:r>
      <w:r>
        <w:fldChar w:fldCharType="end"/>
      </w:r>
    </w:p>
    <w:p>
      <w:pPr>
        <w:pStyle w:val="11"/>
        <w:rPr>
          <w:rFonts w:asciiTheme="minorHAnsi" w:hAnsiTheme="minorHAnsi" w:eastAsiaTheme="minorEastAsia"/>
          <w:sz w:val="21"/>
        </w:rPr>
      </w:pPr>
      <w:r>
        <w:fldChar w:fldCharType="begin"/>
      </w:r>
      <w:r>
        <w:instrText xml:space="preserve"> HYPERLINK \l "_Toc119659785" </w:instrText>
      </w:r>
      <w:r>
        <w:fldChar w:fldCharType="separate"/>
      </w:r>
      <w:r>
        <w:rPr>
          <w:rStyle w:val="19"/>
          <w:rFonts w:cstheme="minorHAnsi"/>
        </w:rPr>
        <w:t>（五）实施必要性和发展需求</w:t>
      </w:r>
      <w:r>
        <w:tab/>
      </w:r>
      <w:r>
        <w:fldChar w:fldCharType="begin"/>
      </w:r>
      <w:r>
        <w:instrText xml:space="preserve"> PAGEREF _Toc119659785 \h </w:instrText>
      </w:r>
      <w:r>
        <w:fldChar w:fldCharType="separate"/>
      </w:r>
      <w:r>
        <w:t>8</w:t>
      </w:r>
      <w:r>
        <w:fldChar w:fldCharType="end"/>
      </w:r>
      <w:r>
        <w:fldChar w:fldCharType="end"/>
      </w:r>
    </w:p>
    <w:p>
      <w:pPr>
        <w:pStyle w:val="10"/>
        <w:rPr>
          <w:rFonts w:asciiTheme="minorHAnsi" w:hAnsiTheme="minorHAnsi" w:eastAsiaTheme="minorEastAsia"/>
          <w:sz w:val="21"/>
        </w:rPr>
      </w:pPr>
      <w:r>
        <w:fldChar w:fldCharType="begin"/>
      </w:r>
      <w:r>
        <w:instrText xml:space="preserve"> HYPERLINK \l "_Toc119659786" </w:instrText>
      </w:r>
      <w:r>
        <w:fldChar w:fldCharType="separate"/>
      </w:r>
      <w:r>
        <w:rPr>
          <w:rStyle w:val="19"/>
        </w:rPr>
        <w:t>二、发展思路与目标</w:t>
      </w:r>
      <w:r>
        <w:tab/>
      </w:r>
      <w:r>
        <w:fldChar w:fldCharType="begin"/>
      </w:r>
      <w:r>
        <w:instrText xml:space="preserve"> PAGEREF _Toc119659786 \h </w:instrText>
      </w:r>
      <w:r>
        <w:fldChar w:fldCharType="separate"/>
      </w:r>
      <w:r>
        <w:t>11</w:t>
      </w:r>
      <w:r>
        <w:fldChar w:fldCharType="end"/>
      </w:r>
      <w:r>
        <w:fldChar w:fldCharType="end"/>
      </w:r>
    </w:p>
    <w:p>
      <w:pPr>
        <w:pStyle w:val="11"/>
        <w:rPr>
          <w:rFonts w:asciiTheme="minorHAnsi" w:hAnsiTheme="minorHAnsi" w:eastAsiaTheme="minorEastAsia"/>
          <w:sz w:val="21"/>
        </w:rPr>
      </w:pPr>
      <w:r>
        <w:fldChar w:fldCharType="begin"/>
      </w:r>
      <w:r>
        <w:instrText xml:space="preserve"> HYPERLINK \l "_Toc119659787" </w:instrText>
      </w:r>
      <w:r>
        <w:fldChar w:fldCharType="separate"/>
      </w:r>
      <w:r>
        <w:rPr>
          <w:rStyle w:val="19"/>
          <w:rFonts w:cstheme="minorHAnsi"/>
        </w:rPr>
        <w:t>（一）发展思路</w:t>
      </w:r>
      <w:r>
        <w:tab/>
      </w:r>
      <w:r>
        <w:fldChar w:fldCharType="begin"/>
      </w:r>
      <w:r>
        <w:instrText xml:space="preserve"> PAGEREF _Toc119659787 \h </w:instrText>
      </w:r>
      <w:r>
        <w:fldChar w:fldCharType="separate"/>
      </w:r>
      <w:r>
        <w:t>11</w:t>
      </w:r>
      <w:r>
        <w:fldChar w:fldCharType="end"/>
      </w:r>
      <w:r>
        <w:fldChar w:fldCharType="end"/>
      </w:r>
    </w:p>
    <w:p>
      <w:pPr>
        <w:pStyle w:val="11"/>
        <w:rPr>
          <w:rFonts w:asciiTheme="minorHAnsi" w:hAnsiTheme="minorHAnsi" w:eastAsiaTheme="minorEastAsia"/>
          <w:sz w:val="21"/>
        </w:rPr>
      </w:pPr>
      <w:r>
        <w:fldChar w:fldCharType="begin"/>
      </w:r>
      <w:r>
        <w:instrText xml:space="preserve"> HYPERLINK \l "_Toc119659788" </w:instrText>
      </w:r>
      <w:r>
        <w:fldChar w:fldCharType="separate"/>
      </w:r>
      <w:r>
        <w:rPr>
          <w:rStyle w:val="19"/>
          <w:rFonts w:cstheme="minorHAnsi"/>
        </w:rPr>
        <w:t>（二）基本原则</w:t>
      </w:r>
      <w:r>
        <w:tab/>
      </w:r>
      <w:r>
        <w:fldChar w:fldCharType="begin"/>
      </w:r>
      <w:r>
        <w:instrText xml:space="preserve"> PAGEREF _Toc119659788 \h </w:instrText>
      </w:r>
      <w:r>
        <w:fldChar w:fldCharType="separate"/>
      </w:r>
      <w:r>
        <w:t>11</w:t>
      </w:r>
      <w:r>
        <w:fldChar w:fldCharType="end"/>
      </w:r>
      <w:r>
        <w:fldChar w:fldCharType="end"/>
      </w:r>
    </w:p>
    <w:p>
      <w:pPr>
        <w:pStyle w:val="11"/>
        <w:rPr>
          <w:rFonts w:asciiTheme="minorHAnsi" w:hAnsiTheme="minorHAnsi" w:eastAsiaTheme="minorEastAsia"/>
          <w:sz w:val="21"/>
        </w:rPr>
      </w:pPr>
      <w:r>
        <w:fldChar w:fldCharType="begin"/>
      </w:r>
      <w:r>
        <w:instrText xml:space="preserve"> HYPERLINK \l "_Toc119659789" </w:instrText>
      </w:r>
      <w:r>
        <w:fldChar w:fldCharType="separate"/>
      </w:r>
      <w:r>
        <w:rPr>
          <w:rStyle w:val="19"/>
          <w:rFonts w:cstheme="minorHAnsi"/>
        </w:rPr>
        <w:t>（三）总体目标</w:t>
      </w:r>
      <w:r>
        <w:tab/>
      </w:r>
      <w:r>
        <w:fldChar w:fldCharType="begin"/>
      </w:r>
      <w:r>
        <w:instrText xml:space="preserve"> PAGEREF _Toc119659789 \h </w:instrText>
      </w:r>
      <w:r>
        <w:fldChar w:fldCharType="separate"/>
      </w:r>
      <w:r>
        <w:t>12</w:t>
      </w:r>
      <w:r>
        <w:fldChar w:fldCharType="end"/>
      </w:r>
      <w:r>
        <w:fldChar w:fldCharType="end"/>
      </w:r>
    </w:p>
    <w:p>
      <w:pPr>
        <w:pStyle w:val="11"/>
        <w:rPr>
          <w:rFonts w:asciiTheme="minorHAnsi" w:hAnsiTheme="minorHAnsi" w:eastAsiaTheme="minorEastAsia"/>
          <w:sz w:val="21"/>
        </w:rPr>
      </w:pPr>
      <w:r>
        <w:fldChar w:fldCharType="begin"/>
      </w:r>
      <w:r>
        <w:instrText xml:space="preserve"> HYPERLINK \l "_Toc119659790" </w:instrText>
      </w:r>
      <w:r>
        <w:fldChar w:fldCharType="separate"/>
      </w:r>
      <w:r>
        <w:rPr>
          <w:rStyle w:val="19"/>
          <w:rFonts w:cstheme="minorHAnsi"/>
        </w:rPr>
        <w:t>（四）发展策略</w:t>
      </w:r>
      <w:r>
        <w:tab/>
      </w:r>
      <w:r>
        <w:fldChar w:fldCharType="begin"/>
      </w:r>
      <w:r>
        <w:instrText xml:space="preserve"> PAGEREF _Toc119659790 \h </w:instrText>
      </w:r>
      <w:r>
        <w:fldChar w:fldCharType="separate"/>
      </w:r>
      <w:r>
        <w:t>13</w:t>
      </w:r>
      <w:r>
        <w:fldChar w:fldCharType="end"/>
      </w:r>
      <w:r>
        <w:fldChar w:fldCharType="end"/>
      </w:r>
    </w:p>
    <w:p>
      <w:pPr>
        <w:pStyle w:val="11"/>
        <w:rPr>
          <w:rFonts w:asciiTheme="minorHAnsi" w:hAnsiTheme="minorHAnsi" w:eastAsiaTheme="minorEastAsia"/>
          <w:sz w:val="21"/>
        </w:rPr>
      </w:pPr>
      <w:r>
        <w:fldChar w:fldCharType="begin"/>
      </w:r>
      <w:r>
        <w:instrText xml:space="preserve"> HYPERLINK \l "_Toc119659791" </w:instrText>
      </w:r>
      <w:r>
        <w:fldChar w:fldCharType="separate"/>
      </w:r>
      <w:r>
        <w:rPr>
          <w:rStyle w:val="19"/>
          <w:rFonts w:cstheme="minorHAnsi"/>
        </w:rPr>
        <w:t>（五）空间布局</w:t>
      </w:r>
      <w:r>
        <w:tab/>
      </w:r>
      <w:r>
        <w:fldChar w:fldCharType="begin"/>
      </w:r>
      <w:r>
        <w:instrText xml:space="preserve"> PAGEREF _Toc119659791 \h </w:instrText>
      </w:r>
      <w:r>
        <w:fldChar w:fldCharType="separate"/>
      </w:r>
      <w:r>
        <w:t>14</w:t>
      </w:r>
      <w:r>
        <w:fldChar w:fldCharType="end"/>
      </w:r>
      <w:r>
        <w:fldChar w:fldCharType="end"/>
      </w:r>
    </w:p>
    <w:p>
      <w:pPr>
        <w:pStyle w:val="10"/>
        <w:rPr>
          <w:rFonts w:asciiTheme="minorHAnsi" w:hAnsiTheme="minorHAnsi" w:eastAsiaTheme="minorEastAsia"/>
          <w:sz w:val="21"/>
        </w:rPr>
      </w:pPr>
      <w:r>
        <w:fldChar w:fldCharType="begin"/>
      </w:r>
      <w:r>
        <w:instrText xml:space="preserve"> HYPERLINK \l "_Toc119659792" </w:instrText>
      </w:r>
      <w:r>
        <w:fldChar w:fldCharType="separate"/>
      </w:r>
      <w:r>
        <w:rPr>
          <w:rStyle w:val="19"/>
        </w:rPr>
        <w:t>三、主要任务</w:t>
      </w:r>
      <w:r>
        <w:tab/>
      </w:r>
      <w:r>
        <w:fldChar w:fldCharType="begin"/>
      </w:r>
      <w:r>
        <w:instrText xml:space="preserve"> PAGEREF _Toc119659792 \h </w:instrText>
      </w:r>
      <w:r>
        <w:fldChar w:fldCharType="separate"/>
      </w:r>
      <w:r>
        <w:t>17</w:t>
      </w:r>
      <w:r>
        <w:fldChar w:fldCharType="end"/>
      </w:r>
      <w:r>
        <w:fldChar w:fldCharType="end"/>
      </w:r>
    </w:p>
    <w:p>
      <w:pPr>
        <w:pStyle w:val="11"/>
        <w:rPr>
          <w:rFonts w:asciiTheme="minorHAnsi" w:hAnsiTheme="minorHAnsi" w:eastAsiaTheme="minorEastAsia"/>
          <w:sz w:val="21"/>
        </w:rPr>
      </w:pPr>
      <w:r>
        <w:fldChar w:fldCharType="begin"/>
      </w:r>
      <w:r>
        <w:instrText xml:space="preserve"> HYPERLINK \l "_Toc119659793" </w:instrText>
      </w:r>
      <w:r>
        <w:fldChar w:fldCharType="separate"/>
      </w:r>
      <w:r>
        <w:rPr>
          <w:rStyle w:val="19"/>
          <w:rFonts w:cstheme="minorHAnsi"/>
        </w:rPr>
        <w:t>（一）建立健全资源台账系统</w:t>
      </w:r>
      <w:r>
        <w:tab/>
      </w:r>
      <w:r>
        <w:fldChar w:fldCharType="begin"/>
      </w:r>
      <w:r>
        <w:instrText xml:space="preserve"> PAGEREF _Toc119659793 \h </w:instrText>
      </w:r>
      <w:r>
        <w:fldChar w:fldCharType="separate"/>
      </w:r>
      <w:r>
        <w:t>17</w:t>
      </w:r>
      <w:r>
        <w:fldChar w:fldCharType="end"/>
      </w:r>
      <w:r>
        <w:fldChar w:fldCharType="end"/>
      </w:r>
    </w:p>
    <w:p>
      <w:pPr>
        <w:pStyle w:val="11"/>
        <w:rPr>
          <w:rFonts w:asciiTheme="minorHAnsi" w:hAnsiTheme="minorHAnsi" w:eastAsiaTheme="minorEastAsia"/>
          <w:sz w:val="21"/>
        </w:rPr>
      </w:pPr>
      <w:r>
        <w:fldChar w:fldCharType="begin"/>
      </w:r>
      <w:r>
        <w:instrText xml:space="preserve"> HYPERLINK \l "_Toc119659794" </w:instrText>
      </w:r>
      <w:r>
        <w:fldChar w:fldCharType="separate"/>
      </w:r>
      <w:r>
        <w:rPr>
          <w:rStyle w:val="19"/>
          <w:rFonts w:cstheme="minorHAnsi"/>
        </w:rPr>
        <w:t>（二）完善收储运服务体系</w:t>
      </w:r>
      <w:r>
        <w:tab/>
      </w:r>
      <w:r>
        <w:fldChar w:fldCharType="begin"/>
      </w:r>
      <w:r>
        <w:instrText xml:space="preserve"> PAGEREF _Toc119659794 \h </w:instrText>
      </w:r>
      <w:r>
        <w:fldChar w:fldCharType="separate"/>
      </w:r>
      <w:r>
        <w:t>17</w:t>
      </w:r>
      <w:r>
        <w:fldChar w:fldCharType="end"/>
      </w:r>
      <w:r>
        <w:fldChar w:fldCharType="end"/>
      </w:r>
    </w:p>
    <w:p>
      <w:pPr>
        <w:pStyle w:val="11"/>
        <w:rPr>
          <w:rFonts w:asciiTheme="minorHAnsi" w:hAnsiTheme="minorHAnsi" w:eastAsiaTheme="minorEastAsia"/>
          <w:sz w:val="21"/>
        </w:rPr>
      </w:pPr>
      <w:r>
        <w:fldChar w:fldCharType="begin"/>
      </w:r>
      <w:r>
        <w:instrText xml:space="preserve"> HYPERLINK \l "_Toc119659795" </w:instrText>
      </w:r>
      <w:r>
        <w:fldChar w:fldCharType="separate"/>
      </w:r>
      <w:r>
        <w:rPr>
          <w:rStyle w:val="19"/>
          <w:rFonts w:cstheme="minorHAnsi"/>
        </w:rPr>
        <w:t>（三）加大肥料化循环利用</w:t>
      </w:r>
      <w:r>
        <w:tab/>
      </w:r>
      <w:r>
        <w:fldChar w:fldCharType="begin"/>
      </w:r>
      <w:r>
        <w:instrText xml:space="preserve"> PAGEREF _Toc119659795 \h </w:instrText>
      </w:r>
      <w:r>
        <w:fldChar w:fldCharType="separate"/>
      </w:r>
      <w:r>
        <w:t>18</w:t>
      </w:r>
      <w:r>
        <w:fldChar w:fldCharType="end"/>
      </w:r>
      <w:r>
        <w:fldChar w:fldCharType="end"/>
      </w:r>
    </w:p>
    <w:p>
      <w:pPr>
        <w:pStyle w:val="11"/>
        <w:rPr>
          <w:rFonts w:asciiTheme="minorHAnsi" w:hAnsiTheme="minorHAnsi" w:eastAsiaTheme="minorEastAsia"/>
          <w:sz w:val="21"/>
        </w:rPr>
      </w:pPr>
      <w:r>
        <w:fldChar w:fldCharType="begin"/>
      </w:r>
      <w:r>
        <w:instrText xml:space="preserve"> HYPERLINK \l "_Toc119659796" </w:instrText>
      </w:r>
      <w:r>
        <w:fldChar w:fldCharType="separate"/>
      </w:r>
      <w:r>
        <w:rPr>
          <w:rStyle w:val="19"/>
          <w:rFonts w:cstheme="minorHAnsi"/>
        </w:rPr>
        <w:t>（四）鼓励支持高值化利用</w:t>
      </w:r>
      <w:r>
        <w:tab/>
      </w:r>
      <w:r>
        <w:fldChar w:fldCharType="begin"/>
      </w:r>
      <w:r>
        <w:instrText xml:space="preserve"> PAGEREF _Toc119659796 \h </w:instrText>
      </w:r>
      <w:r>
        <w:fldChar w:fldCharType="separate"/>
      </w:r>
      <w:r>
        <w:t>19</w:t>
      </w:r>
      <w:r>
        <w:fldChar w:fldCharType="end"/>
      </w:r>
      <w:r>
        <w:fldChar w:fldCharType="end"/>
      </w:r>
    </w:p>
    <w:p>
      <w:pPr>
        <w:pStyle w:val="11"/>
        <w:rPr>
          <w:rFonts w:asciiTheme="minorHAnsi" w:hAnsiTheme="minorHAnsi" w:eastAsiaTheme="minorEastAsia"/>
          <w:sz w:val="21"/>
        </w:rPr>
      </w:pPr>
      <w:r>
        <w:fldChar w:fldCharType="begin"/>
      </w:r>
      <w:r>
        <w:instrText xml:space="preserve"> HYPERLINK \l "_Toc119659797" </w:instrText>
      </w:r>
      <w:r>
        <w:fldChar w:fldCharType="separate"/>
      </w:r>
      <w:r>
        <w:rPr>
          <w:rStyle w:val="19"/>
          <w:rFonts w:cstheme="minorHAnsi"/>
        </w:rPr>
        <w:t>（五）探索建立长效运行机制</w:t>
      </w:r>
      <w:r>
        <w:tab/>
      </w:r>
      <w:r>
        <w:fldChar w:fldCharType="begin"/>
      </w:r>
      <w:r>
        <w:instrText xml:space="preserve"> PAGEREF _Toc119659797 \h </w:instrText>
      </w:r>
      <w:r>
        <w:fldChar w:fldCharType="separate"/>
      </w:r>
      <w:r>
        <w:t>21</w:t>
      </w:r>
      <w:r>
        <w:fldChar w:fldCharType="end"/>
      </w:r>
      <w:r>
        <w:fldChar w:fldCharType="end"/>
      </w:r>
    </w:p>
    <w:p>
      <w:pPr>
        <w:pStyle w:val="11"/>
        <w:rPr>
          <w:rFonts w:asciiTheme="minorHAnsi" w:hAnsiTheme="minorHAnsi" w:eastAsiaTheme="minorEastAsia"/>
          <w:sz w:val="21"/>
        </w:rPr>
      </w:pPr>
      <w:r>
        <w:fldChar w:fldCharType="begin"/>
      </w:r>
      <w:r>
        <w:instrText xml:space="preserve"> HYPERLINK \l "_Toc119659798" </w:instrText>
      </w:r>
      <w:r>
        <w:fldChar w:fldCharType="separate"/>
      </w:r>
      <w:r>
        <w:rPr>
          <w:rStyle w:val="19"/>
          <w:rFonts w:cstheme="minorHAnsi"/>
        </w:rPr>
        <w:t>（六）强化科技支撑体系建设</w:t>
      </w:r>
      <w:r>
        <w:tab/>
      </w:r>
      <w:r>
        <w:fldChar w:fldCharType="begin"/>
      </w:r>
      <w:r>
        <w:instrText xml:space="preserve"> PAGEREF _Toc119659798 \h </w:instrText>
      </w:r>
      <w:r>
        <w:fldChar w:fldCharType="separate"/>
      </w:r>
      <w:r>
        <w:t>21</w:t>
      </w:r>
      <w:r>
        <w:fldChar w:fldCharType="end"/>
      </w:r>
      <w:r>
        <w:fldChar w:fldCharType="end"/>
      </w:r>
    </w:p>
    <w:p>
      <w:pPr>
        <w:pStyle w:val="10"/>
        <w:rPr>
          <w:rFonts w:asciiTheme="minorHAnsi" w:hAnsiTheme="minorHAnsi" w:eastAsiaTheme="minorEastAsia"/>
          <w:sz w:val="21"/>
        </w:rPr>
      </w:pPr>
      <w:r>
        <w:fldChar w:fldCharType="begin"/>
      </w:r>
      <w:r>
        <w:instrText xml:space="preserve"> HYPERLINK \l "_Toc119659799" </w:instrText>
      </w:r>
      <w:r>
        <w:fldChar w:fldCharType="separate"/>
      </w:r>
      <w:r>
        <w:rPr>
          <w:rStyle w:val="19"/>
        </w:rPr>
        <w:t>四、重点</w:t>
      </w:r>
      <w:r>
        <w:rPr>
          <w:rStyle w:val="19"/>
          <w:rFonts w:hint="eastAsia"/>
        </w:rPr>
        <w:t>支持内容</w:t>
      </w:r>
      <w:r>
        <w:tab/>
      </w:r>
      <w:r>
        <w:fldChar w:fldCharType="begin"/>
      </w:r>
      <w:r>
        <w:instrText xml:space="preserve"> PAGEREF _Toc119659799 \h </w:instrText>
      </w:r>
      <w:r>
        <w:fldChar w:fldCharType="separate"/>
      </w:r>
      <w:r>
        <w:t>23</w:t>
      </w:r>
      <w:r>
        <w:fldChar w:fldCharType="end"/>
      </w:r>
      <w:r>
        <w:fldChar w:fldCharType="end"/>
      </w:r>
    </w:p>
    <w:p>
      <w:pPr>
        <w:pStyle w:val="11"/>
        <w:rPr>
          <w:rFonts w:asciiTheme="minorHAnsi" w:hAnsiTheme="minorHAnsi" w:eastAsiaTheme="minorEastAsia"/>
          <w:sz w:val="21"/>
        </w:rPr>
      </w:pPr>
      <w:r>
        <w:fldChar w:fldCharType="begin"/>
      </w:r>
      <w:r>
        <w:instrText xml:space="preserve"> HYPERLINK \l "_Toc119659800" </w:instrText>
      </w:r>
      <w:r>
        <w:fldChar w:fldCharType="separate"/>
      </w:r>
      <w:r>
        <w:rPr>
          <w:rStyle w:val="19"/>
          <w:rFonts w:cstheme="minorHAnsi"/>
        </w:rPr>
        <w:t>（一）资源台账系统建设</w:t>
      </w:r>
      <w:r>
        <w:tab/>
      </w:r>
      <w:r>
        <w:fldChar w:fldCharType="begin"/>
      </w:r>
      <w:r>
        <w:instrText xml:space="preserve"> PAGEREF _Toc119659800 \h </w:instrText>
      </w:r>
      <w:r>
        <w:fldChar w:fldCharType="separate"/>
      </w:r>
      <w:r>
        <w:t>23</w:t>
      </w:r>
      <w:r>
        <w:fldChar w:fldCharType="end"/>
      </w:r>
      <w:r>
        <w:fldChar w:fldCharType="end"/>
      </w:r>
    </w:p>
    <w:p>
      <w:pPr>
        <w:pStyle w:val="11"/>
        <w:rPr>
          <w:rFonts w:asciiTheme="minorHAnsi" w:hAnsiTheme="minorHAnsi" w:eastAsiaTheme="minorEastAsia"/>
          <w:sz w:val="21"/>
        </w:rPr>
      </w:pPr>
      <w:r>
        <w:fldChar w:fldCharType="begin"/>
      </w:r>
      <w:r>
        <w:instrText xml:space="preserve"> HYPERLINK \l "_Toc119659801" </w:instrText>
      </w:r>
      <w:r>
        <w:fldChar w:fldCharType="separate"/>
      </w:r>
      <w:r>
        <w:rPr>
          <w:rStyle w:val="19"/>
          <w:rFonts w:cstheme="minorHAnsi"/>
        </w:rPr>
        <w:t>（二）收储运服务体系建设</w:t>
      </w:r>
      <w:r>
        <w:tab/>
      </w:r>
      <w:r>
        <w:fldChar w:fldCharType="begin"/>
      </w:r>
      <w:r>
        <w:instrText xml:space="preserve"> PAGEREF _Toc119659801 \h </w:instrText>
      </w:r>
      <w:r>
        <w:fldChar w:fldCharType="separate"/>
      </w:r>
      <w:r>
        <w:t>23</w:t>
      </w:r>
      <w:r>
        <w:fldChar w:fldCharType="end"/>
      </w:r>
      <w:r>
        <w:fldChar w:fldCharType="end"/>
      </w:r>
    </w:p>
    <w:p>
      <w:pPr>
        <w:pStyle w:val="11"/>
        <w:rPr>
          <w:rFonts w:asciiTheme="minorHAnsi" w:hAnsiTheme="minorHAnsi" w:eastAsiaTheme="minorEastAsia"/>
          <w:sz w:val="21"/>
        </w:rPr>
      </w:pPr>
      <w:r>
        <w:fldChar w:fldCharType="begin"/>
      </w:r>
      <w:r>
        <w:instrText xml:space="preserve"> HYPERLINK \l "_Toc119659802" </w:instrText>
      </w:r>
      <w:r>
        <w:fldChar w:fldCharType="separate"/>
      </w:r>
      <w:r>
        <w:rPr>
          <w:rStyle w:val="19"/>
          <w:rFonts w:cstheme="minorHAnsi"/>
        </w:rPr>
        <w:t>（三）秸秆科学还田固碳增汇</w:t>
      </w:r>
      <w:r>
        <w:tab/>
      </w:r>
      <w:r>
        <w:fldChar w:fldCharType="begin"/>
      </w:r>
      <w:r>
        <w:instrText xml:space="preserve"> PAGEREF _Toc119659802 \h </w:instrText>
      </w:r>
      <w:r>
        <w:fldChar w:fldCharType="separate"/>
      </w:r>
      <w:r>
        <w:t>24</w:t>
      </w:r>
      <w:r>
        <w:fldChar w:fldCharType="end"/>
      </w:r>
      <w:r>
        <w:fldChar w:fldCharType="end"/>
      </w:r>
    </w:p>
    <w:p>
      <w:pPr>
        <w:pStyle w:val="11"/>
        <w:rPr>
          <w:rFonts w:asciiTheme="minorHAnsi" w:hAnsiTheme="minorHAnsi" w:eastAsiaTheme="minorEastAsia"/>
          <w:sz w:val="21"/>
        </w:rPr>
      </w:pPr>
      <w:r>
        <w:fldChar w:fldCharType="begin"/>
      </w:r>
      <w:r>
        <w:instrText xml:space="preserve"> HYPERLINK \l "_Toc119659803" </w:instrText>
      </w:r>
      <w:r>
        <w:fldChar w:fldCharType="separate"/>
      </w:r>
      <w:r>
        <w:rPr>
          <w:rStyle w:val="19"/>
          <w:rFonts w:cstheme="minorHAnsi"/>
        </w:rPr>
        <w:t>（四）秸秆肥料化利用减污降碳</w:t>
      </w:r>
      <w:r>
        <w:tab/>
      </w:r>
      <w:r>
        <w:fldChar w:fldCharType="begin"/>
      </w:r>
      <w:r>
        <w:instrText xml:space="preserve"> PAGEREF _Toc119659803 \h </w:instrText>
      </w:r>
      <w:r>
        <w:fldChar w:fldCharType="separate"/>
      </w:r>
      <w:r>
        <w:t>26</w:t>
      </w:r>
      <w:r>
        <w:fldChar w:fldCharType="end"/>
      </w:r>
      <w:r>
        <w:fldChar w:fldCharType="end"/>
      </w:r>
    </w:p>
    <w:p>
      <w:pPr>
        <w:pStyle w:val="11"/>
        <w:rPr>
          <w:rFonts w:asciiTheme="minorHAnsi" w:hAnsiTheme="minorHAnsi" w:eastAsiaTheme="minorEastAsia"/>
          <w:sz w:val="21"/>
        </w:rPr>
      </w:pPr>
      <w:r>
        <w:fldChar w:fldCharType="begin"/>
      </w:r>
      <w:r>
        <w:instrText xml:space="preserve"> HYPERLINK \l "_Toc119659804" </w:instrText>
      </w:r>
      <w:r>
        <w:fldChar w:fldCharType="separate"/>
      </w:r>
      <w:r>
        <w:rPr>
          <w:rStyle w:val="19"/>
          <w:rFonts w:cstheme="minorHAnsi"/>
        </w:rPr>
        <w:t>（五）秸秆绿色低碳高值化利用</w:t>
      </w:r>
      <w:r>
        <w:tab/>
      </w:r>
      <w:r>
        <w:fldChar w:fldCharType="begin"/>
      </w:r>
      <w:r>
        <w:instrText xml:space="preserve"> PAGEREF _Toc119659804 \h </w:instrText>
      </w:r>
      <w:r>
        <w:fldChar w:fldCharType="separate"/>
      </w:r>
      <w:r>
        <w:t>34</w:t>
      </w:r>
      <w:r>
        <w:fldChar w:fldCharType="end"/>
      </w:r>
      <w:r>
        <w:fldChar w:fldCharType="end"/>
      </w:r>
    </w:p>
    <w:p>
      <w:pPr>
        <w:pStyle w:val="11"/>
        <w:rPr>
          <w:rFonts w:asciiTheme="minorHAnsi" w:hAnsiTheme="minorHAnsi" w:eastAsiaTheme="minorEastAsia"/>
          <w:sz w:val="21"/>
        </w:rPr>
      </w:pPr>
      <w:r>
        <w:fldChar w:fldCharType="begin"/>
      </w:r>
      <w:r>
        <w:instrText xml:space="preserve"> HYPERLINK \l "_Toc119659805" </w:instrText>
      </w:r>
      <w:r>
        <w:fldChar w:fldCharType="separate"/>
      </w:r>
      <w:r>
        <w:rPr>
          <w:rStyle w:val="19"/>
          <w:rFonts w:cstheme="minorHAnsi"/>
        </w:rPr>
        <w:t>（六）科技创新与支撑体系建设</w:t>
      </w:r>
      <w:r>
        <w:tab/>
      </w:r>
      <w:r>
        <w:fldChar w:fldCharType="begin"/>
      </w:r>
      <w:r>
        <w:instrText xml:space="preserve"> PAGEREF _Toc119659805 \h </w:instrText>
      </w:r>
      <w:r>
        <w:fldChar w:fldCharType="separate"/>
      </w:r>
      <w:r>
        <w:t>40</w:t>
      </w:r>
      <w:r>
        <w:fldChar w:fldCharType="end"/>
      </w:r>
      <w:r>
        <w:fldChar w:fldCharType="end"/>
      </w:r>
    </w:p>
    <w:p>
      <w:pPr>
        <w:pStyle w:val="10"/>
        <w:rPr>
          <w:rFonts w:asciiTheme="minorHAnsi" w:hAnsiTheme="minorHAnsi" w:eastAsiaTheme="minorEastAsia"/>
          <w:sz w:val="21"/>
        </w:rPr>
      </w:pPr>
      <w:r>
        <w:fldChar w:fldCharType="begin"/>
      </w:r>
      <w:r>
        <w:instrText xml:space="preserve"> HYPERLINK \l "_Toc119659806" </w:instrText>
      </w:r>
      <w:r>
        <w:fldChar w:fldCharType="separate"/>
      </w:r>
      <w:r>
        <w:rPr>
          <w:rStyle w:val="19"/>
        </w:rPr>
        <w:t>五、效益分析</w:t>
      </w:r>
      <w:r>
        <w:tab/>
      </w:r>
      <w:r>
        <w:fldChar w:fldCharType="begin"/>
      </w:r>
      <w:r>
        <w:instrText xml:space="preserve"> PAGEREF _Toc119659806 \h </w:instrText>
      </w:r>
      <w:r>
        <w:fldChar w:fldCharType="separate"/>
      </w:r>
      <w:r>
        <w:t>42</w:t>
      </w:r>
      <w:r>
        <w:fldChar w:fldCharType="end"/>
      </w:r>
      <w:r>
        <w:fldChar w:fldCharType="end"/>
      </w:r>
    </w:p>
    <w:p>
      <w:pPr>
        <w:pStyle w:val="11"/>
        <w:rPr>
          <w:rFonts w:asciiTheme="minorHAnsi" w:hAnsiTheme="minorHAnsi" w:eastAsiaTheme="minorEastAsia"/>
          <w:sz w:val="21"/>
        </w:rPr>
      </w:pPr>
      <w:r>
        <w:fldChar w:fldCharType="begin"/>
      </w:r>
      <w:r>
        <w:instrText xml:space="preserve"> HYPERLINK \l "_Toc119659807" </w:instrText>
      </w:r>
      <w:r>
        <w:fldChar w:fldCharType="separate"/>
      </w:r>
      <w:r>
        <w:rPr>
          <w:rStyle w:val="19"/>
          <w:rFonts w:cstheme="minorHAnsi"/>
        </w:rPr>
        <w:t>（一）经济效益</w:t>
      </w:r>
      <w:r>
        <w:tab/>
      </w:r>
      <w:r>
        <w:fldChar w:fldCharType="begin"/>
      </w:r>
      <w:r>
        <w:instrText xml:space="preserve"> PAGEREF _Toc119659807 \h </w:instrText>
      </w:r>
      <w:r>
        <w:fldChar w:fldCharType="separate"/>
      </w:r>
      <w:r>
        <w:t>42</w:t>
      </w:r>
      <w:r>
        <w:fldChar w:fldCharType="end"/>
      </w:r>
      <w:r>
        <w:fldChar w:fldCharType="end"/>
      </w:r>
    </w:p>
    <w:p>
      <w:pPr>
        <w:pStyle w:val="11"/>
        <w:rPr>
          <w:rFonts w:asciiTheme="minorHAnsi" w:hAnsiTheme="minorHAnsi" w:eastAsiaTheme="minorEastAsia"/>
          <w:sz w:val="21"/>
        </w:rPr>
      </w:pPr>
      <w:r>
        <w:fldChar w:fldCharType="begin"/>
      </w:r>
      <w:r>
        <w:instrText xml:space="preserve"> HYPERLINK \l "_Toc119659808" </w:instrText>
      </w:r>
      <w:r>
        <w:fldChar w:fldCharType="separate"/>
      </w:r>
      <w:r>
        <w:rPr>
          <w:rStyle w:val="19"/>
          <w:rFonts w:cstheme="minorHAnsi"/>
        </w:rPr>
        <w:t>（二）社会效益</w:t>
      </w:r>
      <w:r>
        <w:tab/>
      </w:r>
      <w:r>
        <w:fldChar w:fldCharType="begin"/>
      </w:r>
      <w:r>
        <w:instrText xml:space="preserve"> PAGEREF _Toc119659808 \h </w:instrText>
      </w:r>
      <w:r>
        <w:fldChar w:fldCharType="separate"/>
      </w:r>
      <w:r>
        <w:t>42</w:t>
      </w:r>
      <w:r>
        <w:fldChar w:fldCharType="end"/>
      </w:r>
      <w:r>
        <w:fldChar w:fldCharType="end"/>
      </w:r>
    </w:p>
    <w:p>
      <w:pPr>
        <w:pStyle w:val="11"/>
        <w:rPr>
          <w:rFonts w:asciiTheme="minorHAnsi" w:hAnsiTheme="minorHAnsi" w:eastAsiaTheme="minorEastAsia"/>
          <w:sz w:val="21"/>
        </w:rPr>
      </w:pPr>
      <w:r>
        <w:fldChar w:fldCharType="begin"/>
      </w:r>
      <w:r>
        <w:instrText xml:space="preserve"> HYPERLINK \l "_Toc119659809" </w:instrText>
      </w:r>
      <w:r>
        <w:fldChar w:fldCharType="separate"/>
      </w:r>
      <w:r>
        <w:rPr>
          <w:rStyle w:val="19"/>
          <w:rFonts w:cstheme="minorHAnsi"/>
        </w:rPr>
        <w:t>（三）生态效益</w:t>
      </w:r>
      <w:r>
        <w:tab/>
      </w:r>
      <w:r>
        <w:fldChar w:fldCharType="begin"/>
      </w:r>
      <w:r>
        <w:instrText xml:space="preserve"> PAGEREF _Toc119659809 \h </w:instrText>
      </w:r>
      <w:r>
        <w:fldChar w:fldCharType="separate"/>
      </w:r>
      <w:r>
        <w:t>43</w:t>
      </w:r>
      <w:r>
        <w:fldChar w:fldCharType="end"/>
      </w:r>
      <w:r>
        <w:fldChar w:fldCharType="end"/>
      </w:r>
    </w:p>
    <w:p>
      <w:pPr>
        <w:pStyle w:val="10"/>
        <w:rPr>
          <w:rFonts w:asciiTheme="minorHAnsi" w:hAnsiTheme="minorHAnsi" w:eastAsiaTheme="minorEastAsia"/>
          <w:sz w:val="21"/>
        </w:rPr>
      </w:pPr>
      <w:r>
        <w:fldChar w:fldCharType="begin"/>
      </w:r>
      <w:r>
        <w:instrText xml:space="preserve"> HYPERLINK \l "_Toc119659810" </w:instrText>
      </w:r>
      <w:r>
        <w:fldChar w:fldCharType="separate"/>
      </w:r>
      <w:r>
        <w:rPr>
          <w:rStyle w:val="19"/>
        </w:rPr>
        <w:t>六、保障措施</w:t>
      </w:r>
      <w:r>
        <w:tab/>
      </w:r>
      <w:r>
        <w:fldChar w:fldCharType="begin"/>
      </w:r>
      <w:r>
        <w:instrText xml:space="preserve"> PAGEREF _Toc119659810 \h </w:instrText>
      </w:r>
      <w:r>
        <w:fldChar w:fldCharType="separate"/>
      </w:r>
      <w:r>
        <w:t>44</w:t>
      </w:r>
      <w:r>
        <w:fldChar w:fldCharType="end"/>
      </w:r>
      <w:r>
        <w:fldChar w:fldCharType="end"/>
      </w:r>
    </w:p>
    <w:p>
      <w:pPr>
        <w:pStyle w:val="11"/>
        <w:rPr>
          <w:rFonts w:asciiTheme="minorHAnsi" w:hAnsiTheme="minorHAnsi" w:eastAsiaTheme="minorEastAsia"/>
          <w:sz w:val="21"/>
        </w:rPr>
      </w:pPr>
      <w:r>
        <w:fldChar w:fldCharType="begin"/>
      </w:r>
      <w:r>
        <w:instrText xml:space="preserve"> HYPERLINK \l "_Toc119659811" </w:instrText>
      </w:r>
      <w:r>
        <w:fldChar w:fldCharType="separate"/>
      </w:r>
      <w:r>
        <w:rPr>
          <w:rStyle w:val="19"/>
          <w:rFonts w:cstheme="minorHAnsi"/>
        </w:rPr>
        <w:t>（一）加强组织领导，压实工作责任</w:t>
      </w:r>
      <w:r>
        <w:tab/>
      </w:r>
      <w:r>
        <w:fldChar w:fldCharType="begin"/>
      </w:r>
      <w:r>
        <w:instrText xml:space="preserve"> PAGEREF _Toc119659811 \h </w:instrText>
      </w:r>
      <w:r>
        <w:fldChar w:fldCharType="separate"/>
      </w:r>
      <w:r>
        <w:t>44</w:t>
      </w:r>
      <w:r>
        <w:fldChar w:fldCharType="end"/>
      </w:r>
      <w:r>
        <w:fldChar w:fldCharType="end"/>
      </w:r>
    </w:p>
    <w:p>
      <w:pPr>
        <w:pStyle w:val="11"/>
        <w:rPr>
          <w:rFonts w:asciiTheme="minorHAnsi" w:hAnsiTheme="minorHAnsi" w:eastAsiaTheme="minorEastAsia"/>
          <w:sz w:val="21"/>
        </w:rPr>
      </w:pPr>
      <w:r>
        <w:fldChar w:fldCharType="begin"/>
      </w:r>
      <w:r>
        <w:instrText xml:space="preserve"> HYPERLINK \l "_Toc119659812" </w:instrText>
      </w:r>
      <w:r>
        <w:fldChar w:fldCharType="separate"/>
      </w:r>
      <w:r>
        <w:rPr>
          <w:rStyle w:val="19"/>
          <w:rFonts w:cstheme="minorHAnsi"/>
        </w:rPr>
        <w:t>（二）完善政策措施，加大资金投入</w:t>
      </w:r>
      <w:r>
        <w:tab/>
      </w:r>
      <w:r>
        <w:fldChar w:fldCharType="begin"/>
      </w:r>
      <w:r>
        <w:instrText xml:space="preserve"> PAGEREF _Toc119659812 \h </w:instrText>
      </w:r>
      <w:r>
        <w:fldChar w:fldCharType="separate"/>
      </w:r>
      <w:r>
        <w:t>44</w:t>
      </w:r>
      <w:r>
        <w:fldChar w:fldCharType="end"/>
      </w:r>
      <w:r>
        <w:fldChar w:fldCharType="end"/>
      </w:r>
    </w:p>
    <w:p>
      <w:pPr>
        <w:pStyle w:val="11"/>
        <w:rPr>
          <w:rFonts w:asciiTheme="minorHAnsi" w:hAnsiTheme="minorHAnsi" w:eastAsiaTheme="minorEastAsia"/>
          <w:sz w:val="21"/>
        </w:rPr>
      </w:pPr>
      <w:r>
        <w:fldChar w:fldCharType="begin"/>
      </w:r>
      <w:r>
        <w:instrText xml:space="preserve"> HYPERLINK \l "_Toc119659813" </w:instrText>
      </w:r>
      <w:r>
        <w:fldChar w:fldCharType="separate"/>
      </w:r>
      <w:r>
        <w:rPr>
          <w:rStyle w:val="19"/>
          <w:rFonts w:cstheme="minorHAnsi"/>
        </w:rPr>
        <w:t>（三）强化科技支撑，培育经营主体</w:t>
      </w:r>
      <w:r>
        <w:tab/>
      </w:r>
      <w:r>
        <w:fldChar w:fldCharType="begin"/>
      </w:r>
      <w:r>
        <w:instrText xml:space="preserve"> PAGEREF _Toc119659813 \h </w:instrText>
      </w:r>
      <w:r>
        <w:fldChar w:fldCharType="separate"/>
      </w:r>
      <w:r>
        <w:t>45</w:t>
      </w:r>
      <w:r>
        <w:fldChar w:fldCharType="end"/>
      </w:r>
      <w:r>
        <w:fldChar w:fldCharType="end"/>
      </w:r>
    </w:p>
    <w:p>
      <w:pPr>
        <w:pStyle w:val="11"/>
        <w:rPr>
          <w:rFonts w:asciiTheme="minorHAnsi" w:hAnsiTheme="minorHAnsi" w:eastAsiaTheme="minorEastAsia"/>
          <w:sz w:val="21"/>
        </w:rPr>
      </w:pPr>
      <w:r>
        <w:fldChar w:fldCharType="begin"/>
      </w:r>
      <w:r>
        <w:instrText xml:space="preserve"> HYPERLINK \l "_Toc119659814" </w:instrText>
      </w:r>
      <w:r>
        <w:fldChar w:fldCharType="separate"/>
      </w:r>
      <w:r>
        <w:rPr>
          <w:rStyle w:val="19"/>
          <w:rFonts w:cstheme="minorHAnsi"/>
        </w:rPr>
        <w:t>（四）做好指导服务，加大宣传力度</w:t>
      </w:r>
      <w:r>
        <w:tab/>
      </w:r>
      <w:r>
        <w:fldChar w:fldCharType="begin"/>
      </w:r>
      <w:r>
        <w:instrText xml:space="preserve"> PAGEREF _Toc119659814 \h </w:instrText>
      </w:r>
      <w:r>
        <w:fldChar w:fldCharType="separate"/>
      </w:r>
      <w:r>
        <w:t>46</w:t>
      </w:r>
      <w:r>
        <w:fldChar w:fldCharType="end"/>
      </w:r>
      <w:r>
        <w:fldChar w:fldCharType="end"/>
      </w:r>
    </w:p>
    <w:p>
      <w:pPr>
        <w:pStyle w:val="11"/>
        <w:rPr>
          <w:rFonts w:asciiTheme="minorHAnsi" w:hAnsiTheme="minorHAnsi" w:eastAsiaTheme="minorEastAsia"/>
          <w:sz w:val="21"/>
        </w:rPr>
      </w:pPr>
      <w:r>
        <w:fldChar w:fldCharType="begin"/>
      </w:r>
      <w:r>
        <w:instrText xml:space="preserve"> HYPERLINK \l "_Toc119659815" </w:instrText>
      </w:r>
      <w:r>
        <w:fldChar w:fldCharType="separate"/>
      </w:r>
      <w:r>
        <w:rPr>
          <w:rStyle w:val="19"/>
          <w:rFonts w:cstheme="minorHAnsi"/>
        </w:rPr>
        <w:t>（五）健全管理机制，完善监督考核</w:t>
      </w:r>
      <w:r>
        <w:tab/>
      </w:r>
      <w:r>
        <w:fldChar w:fldCharType="begin"/>
      </w:r>
      <w:r>
        <w:instrText xml:space="preserve"> PAGEREF _Toc119659815 \h </w:instrText>
      </w:r>
      <w:r>
        <w:fldChar w:fldCharType="separate"/>
      </w:r>
      <w:r>
        <w:t>46</w:t>
      </w:r>
      <w:r>
        <w:fldChar w:fldCharType="end"/>
      </w:r>
      <w:r>
        <w:fldChar w:fldCharType="end"/>
      </w:r>
    </w:p>
    <w:p>
      <w:pPr>
        <w:widowControl/>
        <w:spacing w:line="240" w:lineRule="auto"/>
        <w:jc w:val="left"/>
        <w:rPr>
          <w:rFonts w:eastAsia="黑体" w:asciiTheme="minorHAnsi" w:hAnsiTheme="minorHAnsi" w:cstheme="minorHAnsi"/>
          <w:b/>
          <w:sz w:val="36"/>
          <w:szCs w:val="36"/>
        </w:rPr>
      </w:pPr>
      <w:r>
        <w:rPr>
          <w:rFonts w:eastAsia="黑体" w:asciiTheme="minorHAnsi" w:hAnsiTheme="minorHAnsi" w:cstheme="minorHAnsi"/>
          <w:b/>
          <w:sz w:val="36"/>
          <w:szCs w:val="36"/>
        </w:rPr>
        <w:fldChar w:fldCharType="end"/>
      </w:r>
    </w:p>
    <w:p>
      <w:pPr>
        <w:pStyle w:val="28"/>
        <w:widowControl/>
        <w:ind w:firstLine="0" w:firstLineChars="0"/>
        <w:rPr>
          <w:rFonts w:eastAsia="黑体" w:asciiTheme="minorHAnsi" w:hAnsiTheme="minorHAnsi" w:cstheme="minorHAnsi"/>
          <w:sz w:val="30"/>
          <w:szCs w:val="30"/>
        </w:rPr>
      </w:pPr>
      <w:r>
        <w:rPr>
          <w:rFonts w:eastAsia="黑体" w:asciiTheme="minorHAnsi" w:hAnsiTheme="minorHAnsi" w:cstheme="minorHAnsi"/>
          <w:sz w:val="30"/>
          <w:szCs w:val="30"/>
        </w:rPr>
        <w:t>附图：</w:t>
      </w:r>
    </w:p>
    <w:p>
      <w:pPr>
        <w:pStyle w:val="28"/>
        <w:widowControl/>
        <w:ind w:firstLine="560"/>
        <w:rPr>
          <w:rFonts w:eastAsia="楷体" w:asciiTheme="minorHAnsi" w:hAnsiTheme="minorHAnsi" w:cstheme="minorHAnsi"/>
          <w:bCs/>
          <w:sz w:val="28"/>
          <w:szCs w:val="28"/>
        </w:rPr>
      </w:pPr>
      <w:r>
        <w:rPr>
          <w:rFonts w:eastAsia="楷体" w:asciiTheme="minorHAnsi" w:hAnsiTheme="minorHAnsi" w:cstheme="minorHAnsi"/>
          <w:bCs/>
          <w:sz w:val="28"/>
          <w:szCs w:val="28"/>
        </w:rPr>
        <w:t>附图1：大兴区区位图</w:t>
      </w:r>
    </w:p>
    <w:p>
      <w:pPr>
        <w:pStyle w:val="28"/>
        <w:widowControl/>
        <w:ind w:firstLine="560"/>
        <w:rPr>
          <w:rFonts w:eastAsia="楷体" w:asciiTheme="minorHAnsi" w:hAnsiTheme="minorHAnsi" w:cstheme="minorHAnsi"/>
          <w:bCs/>
          <w:sz w:val="28"/>
          <w:szCs w:val="28"/>
        </w:rPr>
      </w:pPr>
      <w:r>
        <w:rPr>
          <w:rFonts w:eastAsia="楷体" w:asciiTheme="minorHAnsi" w:hAnsiTheme="minorHAnsi" w:cstheme="minorHAnsi"/>
          <w:bCs/>
          <w:sz w:val="28"/>
          <w:szCs w:val="28"/>
        </w:rPr>
        <w:t>附图2：大兴区秸秆资源分布图</w:t>
      </w:r>
    </w:p>
    <w:p>
      <w:pPr>
        <w:pStyle w:val="28"/>
        <w:widowControl/>
        <w:ind w:firstLine="560"/>
        <w:rPr>
          <w:rFonts w:eastAsia="楷体" w:asciiTheme="minorHAnsi" w:hAnsiTheme="minorHAnsi" w:cstheme="minorHAnsi"/>
          <w:bCs/>
          <w:sz w:val="28"/>
          <w:szCs w:val="28"/>
        </w:rPr>
      </w:pPr>
      <w:r>
        <w:rPr>
          <w:rFonts w:eastAsia="楷体" w:asciiTheme="minorHAnsi" w:hAnsiTheme="minorHAnsi" w:cstheme="minorHAnsi"/>
          <w:bCs/>
          <w:sz w:val="28"/>
          <w:szCs w:val="28"/>
        </w:rPr>
        <w:t>附图3：空间布局图</w:t>
      </w:r>
    </w:p>
    <w:p>
      <w:pPr>
        <w:pStyle w:val="28"/>
        <w:widowControl/>
        <w:ind w:firstLine="560"/>
        <w:rPr>
          <w:rFonts w:eastAsia="楷体" w:asciiTheme="minorHAnsi" w:hAnsiTheme="minorHAnsi" w:cstheme="minorHAnsi"/>
          <w:bCs/>
          <w:sz w:val="28"/>
          <w:szCs w:val="28"/>
          <w:highlight w:val="yellow"/>
        </w:rPr>
      </w:pPr>
      <w:r>
        <w:rPr>
          <w:rFonts w:eastAsia="楷体" w:asciiTheme="minorHAnsi" w:hAnsiTheme="minorHAnsi" w:cstheme="minorHAnsi"/>
          <w:bCs/>
          <w:sz w:val="28"/>
          <w:szCs w:val="28"/>
        </w:rPr>
        <w:t>附图4：重点</w:t>
      </w:r>
      <w:r>
        <w:rPr>
          <w:rFonts w:hint="eastAsia" w:eastAsia="楷体" w:asciiTheme="minorHAnsi" w:hAnsiTheme="minorHAnsi" w:cstheme="minorHAnsi"/>
          <w:bCs/>
          <w:sz w:val="28"/>
          <w:szCs w:val="28"/>
        </w:rPr>
        <w:t>内容分布</w:t>
      </w:r>
    </w:p>
    <w:p>
      <w:pPr>
        <w:pStyle w:val="28"/>
        <w:widowControl/>
        <w:rPr>
          <w:rFonts w:asciiTheme="minorHAnsi" w:hAnsiTheme="minorHAnsi" w:cstheme="minorHAnsi"/>
        </w:rPr>
      </w:pPr>
    </w:p>
    <w:p>
      <w:pPr>
        <w:widowControl/>
        <w:spacing w:line="240" w:lineRule="auto"/>
        <w:jc w:val="left"/>
        <w:rPr>
          <w:rFonts w:asciiTheme="minorHAnsi" w:hAnsiTheme="minorHAnsi" w:cstheme="minorHAnsi"/>
          <w:sz w:val="36"/>
          <w:szCs w:val="36"/>
        </w:rPr>
        <w:sectPr>
          <w:pgSz w:w="11906" w:h="16838"/>
          <w:pgMar w:top="1440" w:right="1800" w:bottom="1440" w:left="1800" w:header="851" w:footer="992" w:gutter="0"/>
          <w:pgNumType w:fmt="upperRoman" w:start="1"/>
          <w:cols w:space="425" w:num="1"/>
          <w:docGrid w:type="lines" w:linePitch="312" w:charSpace="0"/>
        </w:sectPr>
      </w:pPr>
    </w:p>
    <w:bookmarkEnd w:id="1"/>
    <w:bookmarkEnd w:id="2"/>
    <w:bookmarkEnd w:id="3"/>
    <w:p>
      <w:pPr>
        <w:widowControl/>
        <w:ind w:firstLine="560" w:firstLineChars="200"/>
        <w:rPr>
          <w:rFonts w:asciiTheme="minorHAnsi" w:hAnsiTheme="minorHAnsi" w:cstheme="minorHAnsi"/>
        </w:rPr>
      </w:pPr>
      <w:r>
        <w:rPr>
          <w:rFonts w:asciiTheme="minorHAnsi" w:hAnsiTheme="minorHAnsi" w:cstheme="minorHAnsi"/>
        </w:rPr>
        <w:t>近年来，大兴区深入实施乡村振兴战略，</w:t>
      </w:r>
      <w:r>
        <w:rPr>
          <w:rFonts w:asciiTheme="minorHAnsi" w:hAnsiTheme="minorHAnsi" w:cstheme="minorHAnsi"/>
          <w:shd w:val="clear" w:color="auto" w:fill="FFFFFF"/>
        </w:rPr>
        <w:t>积极践行绿色发展理念，</w:t>
      </w:r>
      <w:r>
        <w:rPr>
          <w:rFonts w:asciiTheme="minorHAnsi" w:hAnsiTheme="minorHAnsi" w:cstheme="minorHAnsi"/>
        </w:rPr>
        <w:t>不断激发农业农村活力，依托国家现代农业绿色发展先行区、北京市现代农业产业园等建设，大力发展航食基地、西瓜现代产业园、采育现代农业园等，推进现代农业功能拓展和产业转型升级，都市型现代农业持续健康发展。2022</w:t>
      </w:r>
      <w:r>
        <w:rPr>
          <w:rFonts w:hint="eastAsia" w:asciiTheme="minorHAnsi" w:hAnsiTheme="minorHAnsi" w:cstheme="minorHAnsi"/>
        </w:rPr>
        <w:t>年，全区农林牧渔业总产值</w:t>
      </w:r>
      <w:r>
        <w:rPr>
          <w:rFonts w:asciiTheme="minorHAnsi" w:hAnsiTheme="minorHAnsi" w:cstheme="minorHAnsi"/>
        </w:rPr>
        <w:t>34.3</w:t>
      </w:r>
      <w:r>
        <w:rPr>
          <w:rFonts w:hint="eastAsia" w:asciiTheme="minorHAnsi" w:hAnsiTheme="minorHAnsi" w:cstheme="minorHAnsi"/>
        </w:rPr>
        <w:t>亿元，比上年增长</w:t>
      </w:r>
      <w:r>
        <w:rPr>
          <w:rFonts w:asciiTheme="minorHAnsi" w:hAnsiTheme="minorHAnsi" w:cstheme="minorHAnsi"/>
        </w:rPr>
        <w:t>4.6%</w:t>
      </w:r>
      <w:r>
        <w:rPr>
          <w:rFonts w:hint="eastAsia" w:asciiTheme="minorHAnsi" w:hAnsiTheme="minorHAnsi" w:cstheme="minorHAnsi"/>
        </w:rPr>
        <w:t>；拥有农业观光园</w:t>
      </w:r>
      <w:r>
        <w:rPr>
          <w:rFonts w:asciiTheme="minorHAnsi" w:hAnsiTheme="minorHAnsi" w:cstheme="minorHAnsi"/>
        </w:rPr>
        <w:t>46</w:t>
      </w:r>
      <w:r>
        <w:rPr>
          <w:rFonts w:hint="eastAsia" w:asciiTheme="minorHAnsi" w:hAnsiTheme="minorHAnsi" w:cstheme="minorHAnsi"/>
        </w:rPr>
        <w:t>个，年接待游客</w:t>
      </w:r>
      <w:r>
        <w:rPr>
          <w:rFonts w:asciiTheme="minorHAnsi" w:hAnsiTheme="minorHAnsi" w:cstheme="minorHAnsi"/>
        </w:rPr>
        <w:t>53.3</w:t>
      </w:r>
      <w:r>
        <w:rPr>
          <w:rFonts w:hint="eastAsia" w:asciiTheme="minorHAnsi" w:hAnsiTheme="minorHAnsi" w:cstheme="minorHAnsi"/>
        </w:rPr>
        <w:t>万人次，实现总收入</w:t>
      </w:r>
      <w:r>
        <w:rPr>
          <w:rFonts w:asciiTheme="minorHAnsi" w:hAnsiTheme="minorHAnsi" w:cstheme="minorHAnsi"/>
        </w:rPr>
        <w:t>1.0</w:t>
      </w:r>
      <w:r>
        <w:rPr>
          <w:rFonts w:hint="eastAsia" w:asciiTheme="minorHAnsi" w:hAnsiTheme="minorHAnsi" w:cstheme="minorHAnsi"/>
        </w:rPr>
        <w:t>亿元，为服务都市、农业增效、农民增收和生态改善提供了有力支撑。</w:t>
      </w:r>
    </w:p>
    <w:p>
      <w:pPr>
        <w:pStyle w:val="2"/>
        <w:widowControl/>
        <w:spacing w:before="156" w:after="156"/>
        <w:ind w:firstLine="640"/>
      </w:pPr>
      <w:bookmarkStart w:id="4" w:name="_Toc119659780"/>
      <w:r>
        <w:t>一、秸秆类废弃物利用现状</w:t>
      </w:r>
      <w:bookmarkEnd w:id="4"/>
    </w:p>
    <w:p>
      <w:pPr>
        <w:pStyle w:val="3"/>
        <w:rPr>
          <w:rFonts w:cstheme="minorHAnsi"/>
        </w:rPr>
      </w:pPr>
      <w:bookmarkStart w:id="5" w:name="_Toc119659781"/>
      <w:r>
        <w:rPr>
          <w:rFonts w:cstheme="minorHAnsi"/>
        </w:rPr>
        <w:t>（一）农业种植概况</w:t>
      </w:r>
      <w:bookmarkEnd w:id="5"/>
    </w:p>
    <w:p>
      <w:pPr>
        <w:widowControl/>
        <w:ind w:firstLine="562" w:firstLineChars="200"/>
        <w:rPr>
          <w:rFonts w:asciiTheme="minorHAnsi" w:hAnsiTheme="minorHAnsi" w:cstheme="minorHAnsi"/>
        </w:rPr>
      </w:pPr>
      <w:bookmarkStart w:id="6" w:name="_Hlk119601880"/>
      <w:r>
        <w:rPr>
          <w:rFonts w:asciiTheme="minorHAnsi" w:hAnsiTheme="minorHAnsi" w:cstheme="minorHAnsi"/>
          <w:b/>
          <w:bCs/>
        </w:rPr>
        <w:t>粮食。</w:t>
      </w:r>
      <w:r>
        <w:rPr>
          <w:rFonts w:asciiTheme="minorHAnsi" w:hAnsiTheme="minorHAnsi" w:cstheme="minorHAnsi"/>
        </w:rPr>
        <w:t>2022</w:t>
      </w:r>
      <w:r>
        <w:rPr>
          <w:rFonts w:hint="eastAsia" w:asciiTheme="minorHAnsi" w:hAnsiTheme="minorHAnsi" w:cstheme="minorHAnsi"/>
        </w:rPr>
        <w:t>年，大兴区</w:t>
      </w:r>
      <w:r>
        <w:rPr>
          <w:rFonts w:hint="eastAsia" w:asciiTheme="minorHAnsi" w:hAnsiTheme="minorHAnsi" w:cstheme="minorHAnsi"/>
          <w:highlight w:val="none"/>
          <w:lang w:eastAsia="zh-CN"/>
        </w:rPr>
        <w:t>夏粮秋粮</w:t>
      </w:r>
      <w:r>
        <w:rPr>
          <w:rFonts w:hint="eastAsia" w:asciiTheme="minorHAnsi" w:hAnsiTheme="minorHAnsi" w:cstheme="minorHAnsi"/>
        </w:rPr>
        <w:t>播种面积</w:t>
      </w:r>
      <w:r>
        <w:rPr>
          <w:rFonts w:asciiTheme="minorHAnsi" w:hAnsiTheme="minorHAnsi" w:cstheme="minorHAnsi"/>
        </w:rPr>
        <w:t>15.05</w:t>
      </w:r>
      <w:r>
        <w:rPr>
          <w:rFonts w:hint="eastAsia" w:asciiTheme="minorHAnsi" w:hAnsiTheme="minorHAnsi" w:cstheme="minorHAnsi"/>
        </w:rPr>
        <w:t>万亩，总产量</w:t>
      </w:r>
      <w:r>
        <w:rPr>
          <w:rFonts w:asciiTheme="minorHAnsi" w:hAnsiTheme="minorHAnsi" w:cstheme="minorHAnsi"/>
        </w:rPr>
        <w:t>5.51</w:t>
      </w:r>
      <w:r>
        <w:rPr>
          <w:rFonts w:hint="eastAsia" w:asciiTheme="minorHAnsi" w:hAnsiTheme="minorHAnsi" w:cstheme="minorHAnsi"/>
        </w:rPr>
        <w:t>万吨。夏粮主要为小麦，播种面积</w:t>
      </w:r>
      <w:r>
        <w:rPr>
          <w:rFonts w:asciiTheme="minorHAnsi" w:hAnsiTheme="minorHAnsi" w:cstheme="minorHAnsi"/>
        </w:rPr>
        <w:t>5.30</w:t>
      </w:r>
      <w:r>
        <w:rPr>
          <w:rFonts w:hint="eastAsia" w:asciiTheme="minorHAnsi" w:hAnsiTheme="minorHAnsi" w:cstheme="minorHAnsi"/>
        </w:rPr>
        <w:t>万亩；秋粮以玉米、大豆为主，其中玉米播种面积</w:t>
      </w:r>
      <w:r>
        <w:rPr>
          <w:rFonts w:asciiTheme="minorHAnsi" w:hAnsiTheme="minorHAnsi" w:cstheme="minorHAnsi"/>
        </w:rPr>
        <w:t>7.40</w:t>
      </w:r>
      <w:r>
        <w:rPr>
          <w:rFonts w:hint="eastAsia" w:asciiTheme="minorHAnsi" w:hAnsiTheme="minorHAnsi" w:cstheme="minorHAnsi"/>
        </w:rPr>
        <w:t>万亩，大豆播种面积</w:t>
      </w:r>
      <w:r>
        <w:rPr>
          <w:rFonts w:asciiTheme="minorHAnsi" w:hAnsiTheme="minorHAnsi" w:cstheme="minorHAnsi"/>
        </w:rPr>
        <w:t>1.81</w:t>
      </w:r>
      <w:r>
        <w:rPr>
          <w:rFonts w:hint="eastAsia" w:asciiTheme="minorHAnsi" w:hAnsiTheme="minorHAnsi" w:cstheme="minorHAnsi"/>
        </w:rPr>
        <w:t>万亩；</w:t>
      </w:r>
      <w:r>
        <w:rPr>
          <w:rFonts w:asciiTheme="minorHAnsi" w:hAnsiTheme="minorHAnsi" w:cstheme="minorHAnsi"/>
        </w:rPr>
        <w:t>另有少量稻谷、薯类和杂豆等。</w:t>
      </w:r>
    </w:p>
    <w:p>
      <w:pPr>
        <w:widowControl/>
        <w:ind w:firstLine="562" w:firstLineChars="200"/>
        <w:rPr>
          <w:rFonts w:asciiTheme="minorHAnsi" w:hAnsiTheme="minorHAnsi" w:cstheme="minorHAnsi"/>
        </w:rPr>
      </w:pPr>
      <w:r>
        <w:rPr>
          <w:rFonts w:asciiTheme="minorHAnsi" w:hAnsiTheme="minorHAnsi" w:cstheme="minorHAnsi"/>
          <w:b/>
          <w:bCs/>
        </w:rPr>
        <w:t>瓜菜。</w:t>
      </w:r>
      <w:r>
        <w:rPr>
          <w:rFonts w:asciiTheme="minorHAnsi" w:hAnsiTheme="minorHAnsi" w:cstheme="minorHAnsi"/>
        </w:rPr>
        <w:t>大兴区被誉为“首都南菜园”</w:t>
      </w:r>
      <w:r>
        <w:rPr>
          <w:rFonts w:hint="eastAsia" w:asciiTheme="minorHAnsi" w:hAnsiTheme="minorHAnsi" w:cstheme="minorHAnsi"/>
        </w:rPr>
        <w:t>，蔬菜播种面积和产量约占全市的三分之一。</w:t>
      </w:r>
      <w:r>
        <w:rPr>
          <w:rFonts w:asciiTheme="minorHAnsi" w:hAnsiTheme="minorHAnsi" w:cstheme="minorHAnsi"/>
        </w:rPr>
        <w:t>2022</w:t>
      </w:r>
      <w:r>
        <w:rPr>
          <w:rFonts w:hint="eastAsia" w:asciiTheme="minorHAnsi" w:hAnsiTheme="minorHAnsi" w:cstheme="minorHAnsi"/>
        </w:rPr>
        <w:t>年，全区瓜菜种植面积</w:t>
      </w:r>
      <w:r>
        <w:rPr>
          <w:rFonts w:asciiTheme="minorHAnsi" w:hAnsiTheme="minorHAnsi" w:cstheme="minorHAnsi"/>
        </w:rPr>
        <w:t>24.69</w:t>
      </w:r>
      <w:r>
        <w:rPr>
          <w:rFonts w:hint="eastAsia" w:asciiTheme="minorHAnsi" w:hAnsiTheme="minorHAnsi" w:cstheme="minorHAnsi"/>
        </w:rPr>
        <w:t>万亩，实现产量</w:t>
      </w:r>
      <w:r>
        <w:rPr>
          <w:rFonts w:asciiTheme="minorHAnsi" w:hAnsiTheme="minorHAnsi" w:cstheme="minorHAnsi"/>
        </w:rPr>
        <w:t>57.72</w:t>
      </w:r>
      <w:r>
        <w:rPr>
          <w:rFonts w:hint="eastAsia" w:asciiTheme="minorHAnsi" w:hAnsiTheme="minorHAnsi" w:cstheme="minorHAnsi"/>
        </w:rPr>
        <w:t>万吨，其中西甜瓜播种面积约</w:t>
      </w:r>
      <w:r>
        <w:rPr>
          <w:rFonts w:asciiTheme="minorHAnsi" w:hAnsiTheme="minorHAnsi" w:cstheme="minorHAnsi"/>
        </w:rPr>
        <w:t>2.21</w:t>
      </w:r>
      <w:r>
        <w:rPr>
          <w:rFonts w:hint="eastAsia" w:asciiTheme="minorHAnsi" w:hAnsiTheme="minorHAnsi" w:cstheme="minorHAnsi"/>
        </w:rPr>
        <w:t>万亩。蔬菜种植品种主要为叶菜、白菜、黄瓜、西红柿等，其中茄果类蔬菜播种面积</w:t>
      </w:r>
      <w:r>
        <w:rPr>
          <w:rFonts w:asciiTheme="minorHAnsi" w:hAnsiTheme="minorHAnsi" w:cstheme="minorHAnsi"/>
        </w:rPr>
        <w:t>1.44</w:t>
      </w:r>
      <w:r>
        <w:rPr>
          <w:rFonts w:hint="eastAsia" w:asciiTheme="minorHAnsi" w:hAnsiTheme="minorHAnsi" w:cstheme="minorHAnsi"/>
        </w:rPr>
        <w:t>万亩。</w:t>
      </w:r>
      <w:r>
        <w:rPr>
          <w:rFonts w:asciiTheme="minorHAnsi" w:hAnsiTheme="minorHAnsi" w:cstheme="minorHAnsi"/>
        </w:rPr>
        <w:t>全区现有农业设施大棚4.</w:t>
      </w:r>
      <w:r>
        <w:rPr>
          <w:rFonts w:hint="eastAsia" w:asciiTheme="minorHAnsi" w:hAnsiTheme="minorHAnsi" w:cstheme="minorHAnsi"/>
        </w:rPr>
        <w:t>78</w:t>
      </w:r>
      <w:r>
        <w:rPr>
          <w:rFonts w:asciiTheme="minorHAnsi" w:hAnsiTheme="minorHAnsi" w:cstheme="minorHAnsi"/>
        </w:rPr>
        <w:t>万栋，总播种面积6万亩，主要用于西瓜、茄果类生产。</w:t>
      </w:r>
    </w:p>
    <w:p>
      <w:pPr>
        <w:widowControl/>
        <w:ind w:firstLine="562" w:firstLineChars="200"/>
        <w:rPr>
          <w:rFonts w:asciiTheme="minorHAnsi" w:hAnsiTheme="minorHAnsi" w:cstheme="minorHAnsi"/>
        </w:rPr>
      </w:pPr>
      <w:r>
        <w:rPr>
          <w:rFonts w:asciiTheme="minorHAnsi" w:hAnsiTheme="minorHAnsi" w:cstheme="minorHAnsi"/>
          <w:b/>
          <w:bCs/>
        </w:rPr>
        <w:t>林果。</w:t>
      </w:r>
      <w:r>
        <w:rPr>
          <w:rFonts w:asciiTheme="minorHAnsi" w:hAnsiTheme="minorHAnsi" w:cstheme="minorHAnsi"/>
        </w:rPr>
        <w:t>2022</w:t>
      </w:r>
      <w:r>
        <w:rPr>
          <w:rFonts w:hint="eastAsia" w:asciiTheme="minorHAnsi" w:hAnsiTheme="minorHAnsi" w:cstheme="minorHAnsi"/>
        </w:rPr>
        <w:t>年，全区果树种植面积</w:t>
      </w:r>
      <w:r>
        <w:rPr>
          <w:rFonts w:asciiTheme="minorHAnsi" w:hAnsiTheme="minorHAnsi" w:cstheme="minorHAnsi"/>
        </w:rPr>
        <w:t>5.60</w:t>
      </w:r>
      <w:r>
        <w:rPr>
          <w:rFonts w:hint="eastAsia" w:asciiTheme="minorHAnsi" w:hAnsiTheme="minorHAnsi" w:cstheme="minorHAnsi"/>
        </w:rPr>
        <w:t>万亩，年产量约</w:t>
      </w:r>
      <w:r>
        <w:rPr>
          <w:rFonts w:asciiTheme="minorHAnsi" w:hAnsiTheme="minorHAnsi" w:cstheme="minorHAnsi"/>
        </w:rPr>
        <w:t>10.29</w:t>
      </w:r>
      <w:r>
        <w:rPr>
          <w:rFonts w:hint="eastAsia" w:asciiTheme="minorHAnsi" w:hAnsiTheme="minorHAnsi" w:cstheme="minorHAnsi"/>
        </w:rPr>
        <w:t>万吨，种植品种以梨、桃、葡萄为主。其中，梨园面积</w:t>
      </w:r>
      <w:r>
        <w:rPr>
          <w:rFonts w:asciiTheme="minorHAnsi" w:hAnsiTheme="minorHAnsi" w:cstheme="minorHAnsi"/>
        </w:rPr>
        <w:t>1.78</w:t>
      </w:r>
      <w:r>
        <w:rPr>
          <w:rFonts w:hint="eastAsia" w:asciiTheme="minorHAnsi" w:hAnsiTheme="minorHAnsi" w:cstheme="minorHAnsi"/>
        </w:rPr>
        <w:t>万亩，桃园面积</w:t>
      </w:r>
      <w:r>
        <w:rPr>
          <w:rFonts w:asciiTheme="minorHAnsi" w:hAnsiTheme="minorHAnsi" w:cstheme="minorHAnsi"/>
        </w:rPr>
        <w:t>1.79</w:t>
      </w:r>
      <w:r>
        <w:rPr>
          <w:rFonts w:hint="eastAsia" w:asciiTheme="minorHAnsi" w:hAnsiTheme="minorHAnsi" w:cstheme="minorHAnsi"/>
        </w:rPr>
        <w:t>万亩，葡萄园面积</w:t>
      </w:r>
      <w:r>
        <w:rPr>
          <w:rFonts w:asciiTheme="minorHAnsi" w:hAnsiTheme="minorHAnsi" w:cstheme="minorHAnsi"/>
        </w:rPr>
        <w:t>0.94</w:t>
      </w:r>
      <w:r>
        <w:rPr>
          <w:rFonts w:hint="eastAsia" w:asciiTheme="minorHAnsi" w:hAnsiTheme="minorHAnsi" w:cstheme="minorHAnsi"/>
        </w:rPr>
        <w:t>万亩。</w:t>
      </w:r>
    </w:p>
    <w:bookmarkEnd w:id="6"/>
    <w:p>
      <w:pPr>
        <w:widowControl/>
        <w:spacing w:before="156" w:beforeLines="50" w:line="240" w:lineRule="auto"/>
        <w:rPr>
          <w:rStyle w:val="18"/>
        </w:rPr>
      </w:pPr>
    </w:p>
    <w:p>
      <w:pPr>
        <w:widowControl/>
        <w:spacing w:before="156" w:beforeLines="50" w:line="240" w:lineRule="auto"/>
        <w:rPr>
          <w:rStyle w:val="18"/>
        </w:rPr>
      </w:pPr>
      <w:r>
        <w:rPr>
          <w:rFonts w:hint="eastAsia" w:asciiTheme="minorHAnsi" w:hAnsiTheme="minorHAnsi" w:cstheme="minorHAnsi"/>
          <w:sz w:val="21"/>
          <w:szCs w:val="30"/>
        </w:rPr>
        <w:drawing>
          <wp:inline distT="0" distB="0" distL="0" distR="0">
            <wp:extent cx="5274310" cy="2686685"/>
            <wp:effectExtent l="0" t="0" r="2540"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Style w:val="32"/>
        <w:widowControl/>
        <w:rPr>
          <w:rStyle w:val="18"/>
          <w:sz w:val="24"/>
          <w:szCs w:val="21"/>
        </w:rPr>
      </w:pPr>
      <w:r>
        <w:rPr>
          <w:rStyle w:val="18"/>
          <w:sz w:val="24"/>
          <w:szCs w:val="21"/>
        </w:rPr>
        <w:t>图1-1大兴区各乡镇农业种植情况</w:t>
      </w:r>
    </w:p>
    <w:p>
      <w:r>
        <w:rPr>
          <w:rStyle w:val="18"/>
        </w:rPr>
        <w:t>数据来源：大兴区农业农村局、统计局、园林局</w:t>
      </w:r>
    </w:p>
    <w:p>
      <w:pPr>
        <w:pStyle w:val="3"/>
        <w:rPr>
          <w:rFonts w:cstheme="minorHAnsi"/>
        </w:rPr>
      </w:pPr>
      <w:bookmarkStart w:id="7" w:name="_Toc119659782"/>
      <w:r>
        <w:rPr>
          <w:rFonts w:cstheme="minorHAnsi"/>
        </w:rPr>
        <w:t>（二）秸秆类废弃物资源情况</w:t>
      </w:r>
      <w:bookmarkEnd w:id="7"/>
    </w:p>
    <w:p>
      <w:pPr>
        <w:pStyle w:val="4"/>
        <w:rPr>
          <w:rFonts w:cstheme="minorHAnsi"/>
        </w:rPr>
      </w:pPr>
      <w:r>
        <w:rPr>
          <w:rFonts w:cstheme="minorHAnsi"/>
        </w:rPr>
        <w:t>1．秸秆类废弃物资源量测算</w:t>
      </w:r>
    </w:p>
    <w:p>
      <w:pPr>
        <w:widowControl/>
        <w:spacing w:line="384" w:lineRule="auto"/>
        <w:ind w:firstLine="560" w:firstLineChars="200"/>
        <w:rPr>
          <w:rFonts w:asciiTheme="minorHAnsi" w:hAnsiTheme="minorHAnsi" w:cstheme="minorHAnsi"/>
        </w:rPr>
      </w:pPr>
      <w:r>
        <w:rPr>
          <w:rFonts w:asciiTheme="minorHAnsi" w:hAnsiTheme="minorHAnsi" w:cstheme="minorHAnsi"/>
        </w:rPr>
        <w:t>根据大兴区秸秆类废弃物资源调查结果，全区秸秆类废弃物主要包括农作物秸秆、瓜秧尾菜及果树枝条等废弃物。按照草谷比、产废系数等测算方法，根据各类作物种植面积对秸秆类废弃物的产生量进行测算，2022</w:t>
      </w:r>
      <w:r>
        <w:rPr>
          <w:rFonts w:hint="eastAsia" w:asciiTheme="minorHAnsi" w:hAnsiTheme="minorHAnsi" w:cstheme="minorHAnsi"/>
        </w:rPr>
        <w:t>年全区秸秆类废弃物干物质总量约</w:t>
      </w:r>
      <w:r>
        <w:rPr>
          <w:rFonts w:asciiTheme="minorHAnsi" w:hAnsiTheme="minorHAnsi" w:cstheme="minorHAnsi"/>
        </w:rPr>
        <w:t>8.73</w:t>
      </w:r>
      <w:r>
        <w:rPr>
          <w:rFonts w:hint="eastAsia" w:asciiTheme="minorHAnsi" w:hAnsiTheme="minorHAnsi" w:cstheme="minorHAnsi"/>
        </w:rPr>
        <w:t>万吨，折合收获时鲜重约</w:t>
      </w:r>
      <w:r>
        <w:rPr>
          <w:rFonts w:asciiTheme="minorHAnsi" w:hAnsiTheme="minorHAnsi" w:cstheme="minorHAnsi"/>
        </w:rPr>
        <w:t>29.75</w:t>
      </w:r>
      <w:r>
        <w:rPr>
          <w:rFonts w:hint="eastAsia" w:asciiTheme="minorHAnsi" w:hAnsiTheme="minorHAnsi" w:cstheme="minorHAnsi"/>
        </w:rPr>
        <w:t>万吨。</w:t>
      </w:r>
      <w:r>
        <w:rPr>
          <w:rFonts w:asciiTheme="minorHAnsi" w:hAnsiTheme="minorHAnsi" w:cstheme="minorHAnsi"/>
        </w:rPr>
        <w:t>详见表1-1。</w:t>
      </w:r>
    </w:p>
    <w:p>
      <w:pPr>
        <w:pStyle w:val="32"/>
        <w:widowControl/>
        <w:rPr>
          <w:rFonts w:asciiTheme="minorHAnsi" w:hAnsiTheme="minorHAnsi" w:cstheme="minorHAnsi"/>
        </w:rPr>
      </w:pPr>
      <w:r>
        <w:rPr>
          <w:rFonts w:asciiTheme="minorHAnsi" w:hAnsiTheme="minorHAnsi" w:cstheme="minorHAnsi"/>
        </w:rPr>
        <w:t>表1-1 秸秆类废弃物资源量汇总表</w:t>
      </w:r>
    </w:p>
    <w:tbl>
      <w:tblPr>
        <w:tblStyle w:val="15"/>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134"/>
        <w:gridCol w:w="992"/>
        <w:gridCol w:w="1418"/>
        <w:gridCol w:w="1417"/>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1101" w:type="dxa"/>
            <w:shd w:val="clear" w:color="auto" w:fill="9CC2E5" w:themeFill="accent5" w:themeFillTint="99"/>
            <w:vAlign w:val="center"/>
          </w:tcPr>
          <w:p>
            <w:pPr>
              <w:widowControl/>
              <w:spacing w:line="240" w:lineRule="exact"/>
              <w:ind w:left="-140" w:leftChars="-50" w:right="-140" w:rightChars="-50"/>
              <w:jc w:val="center"/>
              <w:rPr>
                <w:rFonts w:asciiTheme="minorHAnsi" w:hAnsiTheme="minorHAnsi" w:eastAsiaTheme="minorEastAsia" w:cstheme="minorHAnsi"/>
                <w:b/>
                <w:bCs/>
                <w:kern w:val="0"/>
                <w:sz w:val="21"/>
                <w:szCs w:val="21"/>
              </w:rPr>
            </w:pPr>
            <w:r>
              <w:rPr>
                <w:rFonts w:asciiTheme="minorHAnsi" w:hAnsiTheme="minorHAnsi" w:eastAsiaTheme="minorEastAsia" w:cstheme="minorHAnsi"/>
                <w:b/>
                <w:bCs/>
                <w:kern w:val="0"/>
                <w:sz w:val="21"/>
                <w:szCs w:val="21"/>
              </w:rPr>
              <w:t>废弃物</w:t>
            </w:r>
          </w:p>
          <w:p>
            <w:pPr>
              <w:widowControl/>
              <w:spacing w:line="240" w:lineRule="exact"/>
              <w:ind w:left="-140" w:leftChars="-50" w:right="-140" w:rightChars="-50"/>
              <w:jc w:val="center"/>
              <w:rPr>
                <w:rFonts w:asciiTheme="minorHAnsi" w:hAnsiTheme="minorHAnsi" w:eastAsiaTheme="minorEastAsia" w:cstheme="minorHAnsi"/>
                <w:b/>
                <w:bCs/>
                <w:kern w:val="0"/>
                <w:sz w:val="21"/>
                <w:szCs w:val="21"/>
              </w:rPr>
            </w:pPr>
            <w:r>
              <w:rPr>
                <w:rFonts w:asciiTheme="minorHAnsi" w:hAnsiTheme="minorHAnsi" w:eastAsiaTheme="minorEastAsia" w:cstheme="minorHAnsi"/>
                <w:b/>
                <w:bCs/>
                <w:kern w:val="0"/>
                <w:sz w:val="21"/>
                <w:szCs w:val="21"/>
              </w:rPr>
              <w:t>类型</w:t>
            </w:r>
          </w:p>
        </w:tc>
        <w:tc>
          <w:tcPr>
            <w:tcW w:w="1134" w:type="dxa"/>
            <w:shd w:val="clear" w:color="auto" w:fill="9CC2E5" w:themeFill="accent5" w:themeFillTint="99"/>
            <w:vAlign w:val="center"/>
          </w:tcPr>
          <w:p>
            <w:pPr>
              <w:widowControl/>
              <w:spacing w:line="240" w:lineRule="exact"/>
              <w:ind w:left="-140" w:leftChars="-50" w:right="-140" w:rightChars="-50"/>
              <w:jc w:val="center"/>
              <w:rPr>
                <w:rFonts w:asciiTheme="minorHAnsi" w:hAnsiTheme="minorHAnsi" w:eastAsiaTheme="minorEastAsia" w:cstheme="minorHAnsi"/>
                <w:b/>
                <w:bCs/>
                <w:kern w:val="0"/>
                <w:sz w:val="21"/>
                <w:szCs w:val="21"/>
              </w:rPr>
            </w:pPr>
            <w:r>
              <w:rPr>
                <w:rFonts w:asciiTheme="minorHAnsi" w:hAnsiTheme="minorHAnsi" w:eastAsiaTheme="minorEastAsia" w:cstheme="minorHAnsi"/>
                <w:b/>
                <w:bCs/>
                <w:kern w:val="0"/>
                <w:sz w:val="21"/>
                <w:szCs w:val="21"/>
              </w:rPr>
              <w:t>种植/播种面积（万亩）</w:t>
            </w:r>
          </w:p>
        </w:tc>
        <w:tc>
          <w:tcPr>
            <w:tcW w:w="992" w:type="dxa"/>
            <w:shd w:val="clear" w:color="auto" w:fill="9CC2E5" w:themeFill="accent5" w:themeFillTint="99"/>
            <w:vAlign w:val="center"/>
          </w:tcPr>
          <w:p>
            <w:pPr>
              <w:widowControl/>
              <w:spacing w:line="240" w:lineRule="exact"/>
              <w:ind w:left="-140" w:leftChars="-50" w:right="-140" w:rightChars="-50"/>
              <w:jc w:val="center"/>
              <w:rPr>
                <w:rFonts w:asciiTheme="minorHAnsi" w:hAnsiTheme="minorHAnsi" w:eastAsiaTheme="minorEastAsia" w:cstheme="minorHAnsi"/>
                <w:b/>
                <w:bCs/>
                <w:kern w:val="0"/>
                <w:sz w:val="21"/>
                <w:szCs w:val="21"/>
              </w:rPr>
            </w:pPr>
            <w:r>
              <w:rPr>
                <w:rFonts w:asciiTheme="minorHAnsi" w:hAnsiTheme="minorHAnsi" w:eastAsiaTheme="minorEastAsia" w:cstheme="minorHAnsi"/>
                <w:b/>
                <w:bCs/>
                <w:kern w:val="0"/>
                <w:sz w:val="21"/>
                <w:szCs w:val="21"/>
              </w:rPr>
              <w:t>产量</w:t>
            </w:r>
          </w:p>
          <w:p>
            <w:pPr>
              <w:widowControl/>
              <w:spacing w:line="240" w:lineRule="exact"/>
              <w:ind w:left="-140" w:leftChars="-50" w:right="-140" w:rightChars="-50"/>
              <w:jc w:val="center"/>
              <w:rPr>
                <w:rFonts w:asciiTheme="minorHAnsi" w:hAnsiTheme="minorHAnsi" w:eastAsiaTheme="minorEastAsia" w:cstheme="minorHAnsi"/>
                <w:b/>
                <w:bCs/>
                <w:kern w:val="0"/>
                <w:sz w:val="21"/>
                <w:szCs w:val="21"/>
              </w:rPr>
            </w:pPr>
            <w:r>
              <w:rPr>
                <w:rFonts w:asciiTheme="minorHAnsi" w:hAnsiTheme="minorHAnsi" w:eastAsiaTheme="minorEastAsia" w:cstheme="minorHAnsi"/>
                <w:b/>
                <w:bCs/>
                <w:kern w:val="0"/>
                <w:sz w:val="21"/>
                <w:szCs w:val="21"/>
              </w:rPr>
              <w:t>（万吨）</w:t>
            </w:r>
          </w:p>
        </w:tc>
        <w:tc>
          <w:tcPr>
            <w:tcW w:w="1418" w:type="dxa"/>
            <w:shd w:val="clear" w:color="auto" w:fill="9CC2E5" w:themeFill="accent5" w:themeFillTint="99"/>
            <w:vAlign w:val="center"/>
          </w:tcPr>
          <w:p>
            <w:pPr>
              <w:widowControl/>
              <w:spacing w:line="240" w:lineRule="exact"/>
              <w:ind w:left="-140" w:leftChars="-50" w:right="-140" w:rightChars="-50"/>
              <w:jc w:val="center"/>
              <w:rPr>
                <w:rFonts w:asciiTheme="minorHAnsi" w:hAnsiTheme="minorHAnsi" w:eastAsiaTheme="minorEastAsia" w:cstheme="minorHAnsi"/>
                <w:b/>
                <w:bCs/>
                <w:kern w:val="0"/>
                <w:sz w:val="21"/>
                <w:szCs w:val="21"/>
              </w:rPr>
            </w:pPr>
            <w:r>
              <w:rPr>
                <w:rFonts w:asciiTheme="minorHAnsi" w:hAnsiTheme="minorHAnsi" w:eastAsiaTheme="minorEastAsia" w:cstheme="minorHAnsi"/>
                <w:b/>
                <w:bCs/>
                <w:kern w:val="0"/>
                <w:sz w:val="21"/>
                <w:szCs w:val="21"/>
              </w:rPr>
              <w:t>废弃物资源量（干重，万吨）</w:t>
            </w:r>
          </w:p>
        </w:tc>
        <w:tc>
          <w:tcPr>
            <w:tcW w:w="1417" w:type="dxa"/>
            <w:shd w:val="clear" w:color="auto" w:fill="9CC2E5" w:themeFill="accent5" w:themeFillTint="99"/>
            <w:vAlign w:val="center"/>
          </w:tcPr>
          <w:p>
            <w:pPr>
              <w:widowControl/>
              <w:spacing w:line="240" w:lineRule="exact"/>
              <w:ind w:left="-140" w:leftChars="-50" w:right="-140" w:rightChars="-50"/>
              <w:jc w:val="center"/>
              <w:rPr>
                <w:rFonts w:asciiTheme="minorHAnsi" w:hAnsiTheme="minorHAnsi" w:eastAsiaTheme="minorEastAsia" w:cstheme="minorHAnsi"/>
                <w:b/>
                <w:bCs/>
                <w:kern w:val="0"/>
                <w:sz w:val="21"/>
                <w:szCs w:val="21"/>
              </w:rPr>
            </w:pPr>
            <w:r>
              <w:rPr>
                <w:rFonts w:asciiTheme="minorHAnsi" w:hAnsiTheme="minorHAnsi" w:eastAsiaTheme="minorEastAsia" w:cstheme="minorHAnsi"/>
                <w:b/>
                <w:bCs/>
                <w:kern w:val="0"/>
                <w:sz w:val="21"/>
                <w:szCs w:val="21"/>
              </w:rPr>
              <w:t>废弃物资源量（鲜重，万吨）</w:t>
            </w:r>
          </w:p>
        </w:tc>
        <w:tc>
          <w:tcPr>
            <w:tcW w:w="2268" w:type="dxa"/>
            <w:shd w:val="clear" w:color="auto" w:fill="9CC2E5" w:themeFill="accent5" w:themeFillTint="99"/>
            <w:vAlign w:val="center"/>
          </w:tcPr>
          <w:p>
            <w:pPr>
              <w:widowControl/>
              <w:spacing w:line="240" w:lineRule="exact"/>
              <w:ind w:left="-140" w:leftChars="-50" w:right="-140" w:rightChars="-50"/>
              <w:jc w:val="center"/>
              <w:rPr>
                <w:rFonts w:asciiTheme="minorHAnsi" w:hAnsiTheme="minorHAnsi" w:eastAsiaTheme="minorEastAsia" w:cstheme="minorHAnsi"/>
                <w:b/>
                <w:bCs/>
                <w:kern w:val="0"/>
                <w:sz w:val="21"/>
                <w:szCs w:val="21"/>
              </w:rPr>
            </w:pPr>
            <w:r>
              <w:rPr>
                <w:rFonts w:asciiTheme="minorHAnsi" w:hAnsiTheme="minorHAnsi" w:eastAsiaTheme="minorEastAsia" w:cstheme="minorHAnsi"/>
                <w:b/>
                <w:bCs/>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101" w:type="dxa"/>
            <w:shd w:val="clear" w:color="auto" w:fill="auto"/>
            <w:vAlign w:val="center"/>
          </w:tcPr>
          <w:p>
            <w:pPr>
              <w:widowControl/>
              <w:spacing w:line="240" w:lineRule="exact"/>
              <w:jc w:val="center"/>
              <w:rPr>
                <w:rFonts w:asciiTheme="minorHAnsi" w:hAnsiTheme="minorHAnsi" w:eastAsiaTheme="minorEastAsia" w:cstheme="minorHAnsi"/>
                <w:b/>
                <w:bCs/>
                <w:kern w:val="0"/>
                <w:sz w:val="21"/>
                <w:szCs w:val="21"/>
              </w:rPr>
            </w:pPr>
            <w:r>
              <w:rPr>
                <w:rFonts w:asciiTheme="minorHAnsi" w:hAnsiTheme="minorHAnsi" w:eastAsiaTheme="minorEastAsia" w:cstheme="minorHAnsi"/>
                <w:b/>
                <w:bCs/>
                <w:kern w:val="0"/>
                <w:sz w:val="21"/>
                <w:szCs w:val="21"/>
              </w:rPr>
              <w:t>农作物秸秆</w:t>
            </w:r>
          </w:p>
        </w:tc>
        <w:tc>
          <w:tcPr>
            <w:tcW w:w="1134" w:type="dxa"/>
            <w:shd w:val="clear" w:color="auto" w:fill="auto"/>
            <w:vAlign w:val="center"/>
          </w:tcPr>
          <w:p>
            <w:pPr>
              <w:widowControl/>
              <w:spacing w:line="240" w:lineRule="exact"/>
              <w:jc w:val="center"/>
              <w:rPr>
                <w:rFonts w:asciiTheme="minorHAnsi" w:hAnsiTheme="minorHAnsi" w:eastAsiaTheme="minorEastAsia" w:cstheme="minorHAnsi"/>
                <w:kern w:val="0"/>
                <w:sz w:val="21"/>
                <w:szCs w:val="21"/>
              </w:rPr>
            </w:pPr>
            <w:r>
              <w:rPr>
                <w:rFonts w:cs="Times New Roman"/>
                <w:color w:val="000000"/>
                <w:sz w:val="21"/>
                <w:szCs w:val="21"/>
              </w:rPr>
              <w:t>15.05</w:t>
            </w:r>
          </w:p>
        </w:tc>
        <w:tc>
          <w:tcPr>
            <w:tcW w:w="992" w:type="dxa"/>
            <w:shd w:val="clear" w:color="auto" w:fill="auto"/>
            <w:vAlign w:val="center"/>
          </w:tcPr>
          <w:p>
            <w:pPr>
              <w:widowControl/>
              <w:spacing w:line="240" w:lineRule="exact"/>
              <w:jc w:val="center"/>
              <w:rPr>
                <w:rFonts w:asciiTheme="minorHAnsi" w:hAnsiTheme="minorHAnsi" w:eastAsiaTheme="minorEastAsia" w:cstheme="minorHAnsi"/>
                <w:kern w:val="0"/>
                <w:sz w:val="21"/>
                <w:szCs w:val="21"/>
              </w:rPr>
            </w:pPr>
            <w:r>
              <w:rPr>
                <w:rFonts w:cs="Times New Roman"/>
                <w:color w:val="000000"/>
                <w:sz w:val="21"/>
                <w:szCs w:val="21"/>
              </w:rPr>
              <w:t>5.51</w:t>
            </w:r>
          </w:p>
        </w:tc>
        <w:tc>
          <w:tcPr>
            <w:tcW w:w="1418" w:type="dxa"/>
            <w:shd w:val="clear" w:color="auto" w:fill="auto"/>
            <w:vAlign w:val="center"/>
          </w:tcPr>
          <w:p>
            <w:pPr>
              <w:widowControl/>
              <w:spacing w:line="240" w:lineRule="exact"/>
              <w:jc w:val="center"/>
              <w:rPr>
                <w:rFonts w:asciiTheme="minorHAnsi" w:hAnsiTheme="minorHAnsi" w:eastAsiaTheme="minorEastAsia" w:cstheme="minorHAnsi"/>
                <w:kern w:val="0"/>
                <w:sz w:val="21"/>
                <w:szCs w:val="21"/>
              </w:rPr>
            </w:pPr>
            <w:r>
              <w:rPr>
                <w:rFonts w:cs="Times New Roman"/>
                <w:color w:val="000000"/>
                <w:sz w:val="21"/>
                <w:szCs w:val="21"/>
              </w:rPr>
              <w:t>5.83</w:t>
            </w:r>
          </w:p>
        </w:tc>
        <w:tc>
          <w:tcPr>
            <w:tcW w:w="1417" w:type="dxa"/>
            <w:shd w:val="clear" w:color="auto" w:fill="auto"/>
            <w:vAlign w:val="center"/>
          </w:tcPr>
          <w:p>
            <w:pPr>
              <w:widowControl/>
              <w:spacing w:line="240" w:lineRule="exact"/>
              <w:jc w:val="center"/>
              <w:rPr>
                <w:rFonts w:asciiTheme="minorHAnsi" w:hAnsiTheme="minorHAnsi" w:eastAsiaTheme="minorEastAsia" w:cstheme="minorHAnsi"/>
                <w:kern w:val="0"/>
                <w:sz w:val="21"/>
                <w:szCs w:val="21"/>
              </w:rPr>
            </w:pPr>
            <w:r>
              <w:rPr>
                <w:rFonts w:cs="Times New Roman"/>
                <w:color w:val="000000"/>
                <w:sz w:val="21"/>
                <w:szCs w:val="21"/>
              </w:rPr>
              <w:t>8.39</w:t>
            </w:r>
          </w:p>
        </w:tc>
        <w:tc>
          <w:tcPr>
            <w:tcW w:w="2268" w:type="dxa"/>
            <w:shd w:val="clear" w:color="auto" w:fill="auto"/>
            <w:vAlign w:val="center"/>
          </w:tcPr>
          <w:p>
            <w:pPr>
              <w:widowControl/>
              <w:spacing w:line="240" w:lineRule="exact"/>
              <w:jc w:val="center"/>
              <w:rPr>
                <w:rFonts w:asciiTheme="minorHAnsi" w:hAnsiTheme="minorHAnsi" w:eastAsiaTheme="minorEastAsia" w:cstheme="minorHAnsi"/>
                <w:kern w:val="0"/>
                <w:sz w:val="21"/>
                <w:szCs w:val="21"/>
              </w:rPr>
            </w:pPr>
            <w:r>
              <w:rPr>
                <w:rFonts w:asciiTheme="minorHAnsi" w:hAnsiTheme="minorHAnsi" w:eastAsiaTheme="minorEastAsia" w:cstheme="minorHAnsi"/>
                <w:kern w:val="0"/>
                <w:sz w:val="21"/>
                <w:szCs w:val="21"/>
              </w:rPr>
              <w:t>主要包括玉米秸秆、小麦秸秆、大豆秸秆等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101" w:type="dxa"/>
            <w:shd w:val="clear" w:color="auto" w:fill="auto"/>
            <w:vAlign w:val="center"/>
          </w:tcPr>
          <w:p>
            <w:pPr>
              <w:widowControl/>
              <w:spacing w:line="240" w:lineRule="exact"/>
              <w:jc w:val="center"/>
              <w:rPr>
                <w:rFonts w:asciiTheme="minorHAnsi" w:hAnsiTheme="minorHAnsi" w:eastAsiaTheme="minorEastAsia" w:cstheme="minorHAnsi"/>
                <w:b/>
                <w:bCs/>
                <w:kern w:val="0"/>
                <w:sz w:val="21"/>
                <w:szCs w:val="21"/>
              </w:rPr>
            </w:pPr>
            <w:r>
              <w:rPr>
                <w:rFonts w:asciiTheme="minorHAnsi" w:hAnsiTheme="minorHAnsi" w:eastAsiaTheme="minorEastAsia" w:cstheme="minorHAnsi"/>
                <w:b/>
                <w:bCs/>
                <w:kern w:val="0"/>
                <w:sz w:val="21"/>
                <w:szCs w:val="21"/>
              </w:rPr>
              <w:t>瓜秧尾菜</w:t>
            </w:r>
          </w:p>
        </w:tc>
        <w:tc>
          <w:tcPr>
            <w:tcW w:w="1134" w:type="dxa"/>
            <w:shd w:val="clear" w:color="auto" w:fill="auto"/>
            <w:vAlign w:val="center"/>
          </w:tcPr>
          <w:p>
            <w:pPr>
              <w:widowControl/>
              <w:spacing w:line="240" w:lineRule="exact"/>
              <w:jc w:val="center"/>
              <w:rPr>
                <w:rFonts w:asciiTheme="minorHAnsi" w:hAnsiTheme="minorHAnsi" w:eastAsiaTheme="minorEastAsia" w:cstheme="minorHAnsi"/>
                <w:color w:val="000000"/>
                <w:sz w:val="21"/>
                <w:szCs w:val="18"/>
              </w:rPr>
            </w:pPr>
            <w:r>
              <w:rPr>
                <w:rFonts w:cs="Times New Roman"/>
                <w:color w:val="000000"/>
                <w:sz w:val="21"/>
                <w:szCs w:val="21"/>
              </w:rPr>
              <w:t>24.69</w:t>
            </w:r>
          </w:p>
        </w:tc>
        <w:tc>
          <w:tcPr>
            <w:tcW w:w="992" w:type="dxa"/>
            <w:shd w:val="clear" w:color="auto" w:fill="auto"/>
            <w:vAlign w:val="center"/>
          </w:tcPr>
          <w:p>
            <w:pPr>
              <w:widowControl/>
              <w:spacing w:line="240" w:lineRule="exact"/>
              <w:jc w:val="center"/>
              <w:rPr>
                <w:rFonts w:asciiTheme="minorHAnsi" w:hAnsiTheme="minorHAnsi" w:eastAsiaTheme="minorEastAsia" w:cstheme="minorHAnsi"/>
                <w:color w:val="000000"/>
                <w:sz w:val="21"/>
                <w:szCs w:val="18"/>
              </w:rPr>
            </w:pPr>
            <w:r>
              <w:rPr>
                <w:rFonts w:cs="Times New Roman"/>
                <w:color w:val="000000"/>
                <w:sz w:val="21"/>
                <w:szCs w:val="21"/>
              </w:rPr>
              <w:t>57.72</w:t>
            </w:r>
          </w:p>
        </w:tc>
        <w:tc>
          <w:tcPr>
            <w:tcW w:w="1418" w:type="dxa"/>
            <w:shd w:val="clear" w:color="auto" w:fill="auto"/>
            <w:vAlign w:val="center"/>
          </w:tcPr>
          <w:p>
            <w:pPr>
              <w:widowControl/>
              <w:spacing w:line="240" w:lineRule="exact"/>
              <w:jc w:val="center"/>
              <w:rPr>
                <w:rFonts w:asciiTheme="minorHAnsi" w:hAnsiTheme="minorHAnsi" w:eastAsiaTheme="minorEastAsia" w:cstheme="minorHAnsi"/>
                <w:kern w:val="0"/>
                <w:sz w:val="21"/>
                <w:szCs w:val="21"/>
              </w:rPr>
            </w:pPr>
            <w:r>
              <w:rPr>
                <w:rFonts w:cs="Times New Roman"/>
                <w:color w:val="000000"/>
                <w:sz w:val="21"/>
                <w:szCs w:val="21"/>
              </w:rPr>
              <w:t>1.51</w:t>
            </w:r>
          </w:p>
        </w:tc>
        <w:tc>
          <w:tcPr>
            <w:tcW w:w="1417" w:type="dxa"/>
            <w:shd w:val="clear" w:color="auto" w:fill="auto"/>
            <w:vAlign w:val="center"/>
          </w:tcPr>
          <w:p>
            <w:pPr>
              <w:widowControl/>
              <w:spacing w:line="240" w:lineRule="exact"/>
              <w:jc w:val="center"/>
              <w:rPr>
                <w:rFonts w:asciiTheme="minorHAnsi" w:hAnsiTheme="minorHAnsi" w:eastAsiaTheme="minorEastAsia" w:cstheme="minorHAnsi"/>
                <w:kern w:val="0"/>
                <w:sz w:val="21"/>
                <w:szCs w:val="21"/>
              </w:rPr>
            </w:pPr>
            <w:r>
              <w:rPr>
                <w:rFonts w:cs="Times New Roman"/>
                <w:color w:val="000000"/>
                <w:sz w:val="21"/>
                <w:szCs w:val="21"/>
              </w:rPr>
              <w:t>18.60</w:t>
            </w:r>
          </w:p>
        </w:tc>
        <w:tc>
          <w:tcPr>
            <w:tcW w:w="2268" w:type="dxa"/>
            <w:shd w:val="clear" w:color="auto" w:fill="auto"/>
            <w:vAlign w:val="center"/>
          </w:tcPr>
          <w:p>
            <w:pPr>
              <w:widowControl/>
              <w:spacing w:line="240" w:lineRule="exact"/>
              <w:jc w:val="center"/>
              <w:rPr>
                <w:rFonts w:asciiTheme="minorHAnsi" w:hAnsiTheme="minorHAnsi" w:eastAsiaTheme="minorEastAsia" w:cstheme="minorHAnsi"/>
                <w:kern w:val="0"/>
                <w:sz w:val="21"/>
                <w:szCs w:val="21"/>
              </w:rPr>
            </w:pPr>
            <w:r>
              <w:rPr>
                <w:rFonts w:asciiTheme="minorHAnsi" w:hAnsiTheme="minorHAnsi" w:eastAsiaTheme="minorEastAsia" w:cstheme="minorHAnsi"/>
                <w:kern w:val="0"/>
                <w:sz w:val="21"/>
                <w:szCs w:val="21"/>
              </w:rPr>
              <w:t>主要为瓜秧和蔬菜烂叶、烂根等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101" w:type="dxa"/>
            <w:shd w:val="clear" w:color="auto" w:fill="auto"/>
            <w:vAlign w:val="center"/>
          </w:tcPr>
          <w:p>
            <w:pPr>
              <w:widowControl/>
              <w:spacing w:line="240" w:lineRule="exact"/>
              <w:jc w:val="center"/>
              <w:rPr>
                <w:rFonts w:asciiTheme="minorHAnsi" w:hAnsiTheme="minorHAnsi" w:eastAsiaTheme="minorEastAsia" w:cstheme="minorHAnsi"/>
                <w:b/>
                <w:bCs/>
                <w:kern w:val="0"/>
                <w:sz w:val="21"/>
                <w:szCs w:val="21"/>
              </w:rPr>
            </w:pPr>
            <w:r>
              <w:rPr>
                <w:rFonts w:asciiTheme="minorHAnsi" w:hAnsiTheme="minorHAnsi" w:eastAsiaTheme="minorEastAsia" w:cstheme="minorHAnsi"/>
                <w:b/>
                <w:bCs/>
                <w:kern w:val="0"/>
                <w:sz w:val="20"/>
                <w:szCs w:val="20"/>
              </w:rPr>
              <w:t>果树枝条</w:t>
            </w:r>
          </w:p>
        </w:tc>
        <w:tc>
          <w:tcPr>
            <w:tcW w:w="1134" w:type="dxa"/>
            <w:shd w:val="clear" w:color="auto" w:fill="auto"/>
            <w:vAlign w:val="center"/>
          </w:tcPr>
          <w:p>
            <w:pPr>
              <w:widowControl/>
              <w:spacing w:line="240" w:lineRule="exact"/>
              <w:jc w:val="center"/>
              <w:rPr>
                <w:rFonts w:asciiTheme="minorHAnsi" w:hAnsiTheme="minorHAnsi" w:eastAsiaTheme="minorEastAsia" w:cstheme="minorHAnsi"/>
                <w:kern w:val="0"/>
                <w:sz w:val="21"/>
                <w:szCs w:val="21"/>
              </w:rPr>
            </w:pPr>
            <w:r>
              <w:rPr>
                <w:rFonts w:cs="Times New Roman"/>
                <w:color w:val="000000"/>
                <w:sz w:val="21"/>
                <w:szCs w:val="21"/>
              </w:rPr>
              <w:t>5.60</w:t>
            </w:r>
          </w:p>
        </w:tc>
        <w:tc>
          <w:tcPr>
            <w:tcW w:w="992" w:type="dxa"/>
            <w:shd w:val="clear" w:color="auto" w:fill="auto"/>
            <w:vAlign w:val="center"/>
          </w:tcPr>
          <w:p>
            <w:pPr>
              <w:widowControl/>
              <w:spacing w:line="240" w:lineRule="exact"/>
              <w:jc w:val="center"/>
              <w:rPr>
                <w:rFonts w:asciiTheme="minorHAnsi" w:hAnsiTheme="minorHAnsi" w:eastAsiaTheme="minorEastAsia" w:cstheme="minorHAnsi"/>
                <w:kern w:val="0"/>
                <w:sz w:val="21"/>
                <w:szCs w:val="21"/>
              </w:rPr>
            </w:pPr>
            <w:r>
              <w:rPr>
                <w:rFonts w:cs="Times New Roman"/>
                <w:color w:val="000000"/>
                <w:sz w:val="21"/>
                <w:szCs w:val="21"/>
              </w:rPr>
              <w:t>10.29</w:t>
            </w:r>
          </w:p>
        </w:tc>
        <w:tc>
          <w:tcPr>
            <w:tcW w:w="1418" w:type="dxa"/>
            <w:shd w:val="clear" w:color="auto" w:fill="auto"/>
            <w:vAlign w:val="center"/>
          </w:tcPr>
          <w:p>
            <w:pPr>
              <w:widowControl/>
              <w:spacing w:line="240" w:lineRule="exact"/>
              <w:jc w:val="center"/>
              <w:rPr>
                <w:rFonts w:asciiTheme="minorHAnsi" w:hAnsiTheme="minorHAnsi" w:eastAsiaTheme="minorEastAsia" w:cstheme="minorHAnsi"/>
                <w:kern w:val="0"/>
                <w:sz w:val="21"/>
                <w:szCs w:val="21"/>
              </w:rPr>
            </w:pPr>
            <w:r>
              <w:rPr>
                <w:rFonts w:cs="Times New Roman"/>
                <w:color w:val="000000"/>
                <w:sz w:val="21"/>
                <w:szCs w:val="21"/>
              </w:rPr>
              <w:t>1.38</w:t>
            </w:r>
          </w:p>
        </w:tc>
        <w:tc>
          <w:tcPr>
            <w:tcW w:w="1417" w:type="dxa"/>
            <w:shd w:val="clear" w:color="auto" w:fill="auto"/>
            <w:vAlign w:val="center"/>
          </w:tcPr>
          <w:p>
            <w:pPr>
              <w:widowControl/>
              <w:spacing w:line="240" w:lineRule="exact"/>
              <w:jc w:val="center"/>
              <w:rPr>
                <w:rFonts w:asciiTheme="minorHAnsi" w:hAnsiTheme="minorHAnsi" w:eastAsiaTheme="minorEastAsia" w:cstheme="minorHAnsi"/>
                <w:kern w:val="0"/>
                <w:sz w:val="21"/>
                <w:szCs w:val="21"/>
              </w:rPr>
            </w:pPr>
            <w:r>
              <w:rPr>
                <w:rFonts w:cs="Times New Roman"/>
                <w:color w:val="000000"/>
                <w:sz w:val="21"/>
                <w:szCs w:val="21"/>
              </w:rPr>
              <w:t>2.76</w:t>
            </w:r>
          </w:p>
        </w:tc>
        <w:tc>
          <w:tcPr>
            <w:tcW w:w="2268" w:type="dxa"/>
            <w:shd w:val="clear" w:color="auto" w:fill="auto"/>
            <w:vAlign w:val="center"/>
          </w:tcPr>
          <w:p>
            <w:pPr>
              <w:widowControl/>
              <w:spacing w:line="240" w:lineRule="exact"/>
              <w:jc w:val="center"/>
              <w:rPr>
                <w:rFonts w:asciiTheme="minorHAnsi" w:hAnsiTheme="minorHAnsi" w:eastAsiaTheme="minorEastAsia" w:cstheme="minorHAnsi"/>
                <w:kern w:val="0"/>
                <w:sz w:val="21"/>
                <w:szCs w:val="21"/>
              </w:rPr>
            </w:pPr>
            <w:r>
              <w:rPr>
                <w:rFonts w:asciiTheme="minorHAnsi" w:hAnsiTheme="minorHAnsi" w:eastAsiaTheme="minorEastAsia" w:cstheme="minorHAnsi"/>
                <w:kern w:val="0"/>
                <w:sz w:val="21"/>
                <w:szCs w:val="21"/>
              </w:rPr>
              <w:t>主要为桃、梨、葡萄等果树枝条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101" w:type="dxa"/>
            <w:shd w:val="clear" w:color="auto" w:fill="auto"/>
            <w:vAlign w:val="center"/>
          </w:tcPr>
          <w:p>
            <w:pPr>
              <w:widowControl/>
              <w:spacing w:line="240" w:lineRule="exact"/>
              <w:jc w:val="center"/>
              <w:rPr>
                <w:rFonts w:asciiTheme="minorHAnsi" w:hAnsiTheme="minorHAnsi" w:eastAsiaTheme="minorEastAsia" w:cstheme="minorHAnsi"/>
                <w:b/>
                <w:bCs/>
                <w:kern w:val="0"/>
                <w:sz w:val="21"/>
                <w:szCs w:val="21"/>
              </w:rPr>
            </w:pPr>
            <w:r>
              <w:rPr>
                <w:rFonts w:asciiTheme="minorHAnsi" w:hAnsiTheme="minorHAnsi" w:eastAsiaTheme="minorEastAsia" w:cstheme="minorHAnsi"/>
                <w:b/>
                <w:bCs/>
                <w:kern w:val="0"/>
                <w:sz w:val="21"/>
                <w:szCs w:val="21"/>
              </w:rPr>
              <w:t>合计</w:t>
            </w:r>
          </w:p>
        </w:tc>
        <w:tc>
          <w:tcPr>
            <w:tcW w:w="1134" w:type="dxa"/>
            <w:shd w:val="clear" w:color="auto" w:fill="auto"/>
            <w:vAlign w:val="center"/>
          </w:tcPr>
          <w:p>
            <w:pPr>
              <w:widowControl/>
              <w:spacing w:line="240" w:lineRule="exact"/>
              <w:jc w:val="center"/>
              <w:rPr>
                <w:rFonts w:asciiTheme="minorHAnsi" w:hAnsiTheme="minorHAnsi" w:eastAsiaTheme="minorEastAsia" w:cstheme="minorHAnsi"/>
                <w:kern w:val="0"/>
                <w:sz w:val="21"/>
                <w:szCs w:val="21"/>
              </w:rPr>
            </w:pPr>
            <w:r>
              <w:rPr>
                <w:rFonts w:cs="Times New Roman"/>
                <w:color w:val="000000"/>
                <w:sz w:val="21"/>
                <w:szCs w:val="21"/>
              </w:rPr>
              <w:t>-</w:t>
            </w:r>
          </w:p>
        </w:tc>
        <w:tc>
          <w:tcPr>
            <w:tcW w:w="992" w:type="dxa"/>
            <w:shd w:val="clear" w:color="auto" w:fill="auto"/>
            <w:vAlign w:val="center"/>
          </w:tcPr>
          <w:p>
            <w:pPr>
              <w:widowControl/>
              <w:spacing w:line="240" w:lineRule="exact"/>
              <w:jc w:val="center"/>
              <w:rPr>
                <w:rFonts w:asciiTheme="minorHAnsi" w:hAnsiTheme="minorHAnsi" w:eastAsiaTheme="minorEastAsia" w:cstheme="minorHAnsi"/>
                <w:kern w:val="0"/>
                <w:sz w:val="21"/>
                <w:szCs w:val="21"/>
              </w:rPr>
            </w:pPr>
            <w:r>
              <w:rPr>
                <w:rFonts w:cs="Times New Roman"/>
                <w:color w:val="000000"/>
                <w:sz w:val="21"/>
                <w:szCs w:val="21"/>
              </w:rPr>
              <w:t>-</w:t>
            </w:r>
          </w:p>
        </w:tc>
        <w:tc>
          <w:tcPr>
            <w:tcW w:w="1418" w:type="dxa"/>
            <w:shd w:val="clear" w:color="auto" w:fill="auto"/>
            <w:vAlign w:val="center"/>
          </w:tcPr>
          <w:p>
            <w:pPr>
              <w:widowControl/>
              <w:spacing w:line="240" w:lineRule="exact"/>
              <w:jc w:val="center"/>
              <w:rPr>
                <w:rFonts w:asciiTheme="minorHAnsi" w:hAnsiTheme="minorHAnsi" w:eastAsiaTheme="minorEastAsia" w:cstheme="minorHAnsi"/>
                <w:kern w:val="0"/>
                <w:sz w:val="21"/>
                <w:szCs w:val="21"/>
              </w:rPr>
            </w:pPr>
            <w:r>
              <w:rPr>
                <w:rFonts w:cs="Times New Roman"/>
                <w:color w:val="000000"/>
                <w:sz w:val="21"/>
                <w:szCs w:val="21"/>
              </w:rPr>
              <w:t>8.73</w:t>
            </w:r>
          </w:p>
        </w:tc>
        <w:tc>
          <w:tcPr>
            <w:tcW w:w="1417" w:type="dxa"/>
            <w:shd w:val="clear" w:color="auto" w:fill="auto"/>
            <w:vAlign w:val="center"/>
          </w:tcPr>
          <w:p>
            <w:pPr>
              <w:widowControl/>
              <w:spacing w:line="240" w:lineRule="exact"/>
              <w:jc w:val="center"/>
              <w:rPr>
                <w:rFonts w:asciiTheme="minorHAnsi" w:hAnsiTheme="minorHAnsi" w:eastAsiaTheme="minorEastAsia" w:cstheme="minorHAnsi"/>
                <w:kern w:val="0"/>
                <w:sz w:val="21"/>
                <w:szCs w:val="21"/>
              </w:rPr>
            </w:pPr>
            <w:r>
              <w:rPr>
                <w:rFonts w:cs="Times New Roman"/>
                <w:color w:val="000000"/>
                <w:sz w:val="21"/>
                <w:szCs w:val="21"/>
              </w:rPr>
              <w:t>29.75</w:t>
            </w:r>
          </w:p>
        </w:tc>
        <w:tc>
          <w:tcPr>
            <w:tcW w:w="2268" w:type="dxa"/>
            <w:shd w:val="clear" w:color="auto" w:fill="auto"/>
            <w:vAlign w:val="center"/>
          </w:tcPr>
          <w:p>
            <w:pPr>
              <w:widowControl/>
              <w:spacing w:line="240" w:lineRule="exact"/>
              <w:jc w:val="center"/>
              <w:rPr>
                <w:rFonts w:asciiTheme="minorHAnsi" w:hAnsiTheme="minorHAnsi" w:eastAsiaTheme="minorEastAsia" w:cstheme="minorHAnsi"/>
                <w:kern w:val="0"/>
                <w:sz w:val="21"/>
                <w:szCs w:val="21"/>
              </w:rPr>
            </w:pPr>
          </w:p>
        </w:tc>
      </w:tr>
    </w:tbl>
    <w:p>
      <w:pPr>
        <w:widowControl/>
        <w:spacing w:line="240" w:lineRule="auto"/>
        <w:jc w:val="left"/>
        <w:rPr>
          <w:rStyle w:val="18"/>
        </w:rPr>
      </w:pPr>
      <w:r>
        <w:rPr>
          <w:rStyle w:val="18"/>
        </w:rPr>
        <w:t>数据来源：根据调研统计数据测算</w:t>
      </w:r>
    </w:p>
    <w:p>
      <w:pPr>
        <w:widowControl/>
        <w:spacing w:line="384" w:lineRule="auto"/>
        <w:ind w:firstLine="560" w:firstLineChars="200"/>
        <w:rPr>
          <w:rFonts w:asciiTheme="minorHAnsi" w:hAnsiTheme="minorHAnsi" w:cstheme="minorHAnsi"/>
        </w:rPr>
      </w:pPr>
      <w:r>
        <w:rPr>
          <w:rFonts w:hint="eastAsia" w:asciiTheme="minorHAnsi" w:hAnsiTheme="minorHAnsi" w:cstheme="minorHAnsi"/>
        </w:rPr>
        <w:t>农作物秸秆资源量</w:t>
      </w:r>
      <w:r>
        <w:rPr>
          <w:rFonts w:asciiTheme="minorHAnsi" w:hAnsiTheme="minorHAnsi" w:cstheme="minorHAnsi"/>
        </w:rPr>
        <w:t>5.83</w:t>
      </w:r>
      <w:r>
        <w:rPr>
          <w:rFonts w:hint="eastAsia" w:asciiTheme="minorHAnsi" w:hAnsiTheme="minorHAnsi" w:cstheme="minorHAnsi"/>
        </w:rPr>
        <w:t>万吨（干重，</w:t>
      </w:r>
      <w:r>
        <w:rPr>
          <w:rFonts w:asciiTheme="minorHAnsi" w:hAnsiTheme="minorHAnsi" w:cstheme="minorHAnsi"/>
        </w:rPr>
        <w:t>15%</w:t>
      </w:r>
      <w:r>
        <w:rPr>
          <w:rFonts w:hint="eastAsia" w:asciiTheme="minorHAnsi" w:hAnsiTheme="minorHAnsi" w:cstheme="minorHAnsi"/>
        </w:rPr>
        <w:t>含水量），其中，玉米秸秆</w:t>
      </w:r>
      <w:r>
        <w:rPr>
          <w:rFonts w:asciiTheme="minorHAnsi" w:hAnsiTheme="minorHAnsi" w:cstheme="minorHAnsi"/>
        </w:rPr>
        <w:t>3.11</w:t>
      </w:r>
      <w:r>
        <w:rPr>
          <w:rFonts w:hint="eastAsia" w:asciiTheme="minorHAnsi" w:hAnsiTheme="minorHAnsi" w:cstheme="minorHAnsi"/>
        </w:rPr>
        <w:t>万吨，占比约</w:t>
      </w:r>
      <w:r>
        <w:rPr>
          <w:rFonts w:asciiTheme="minorHAnsi" w:hAnsiTheme="minorHAnsi" w:cstheme="minorHAnsi"/>
        </w:rPr>
        <w:t>53.3%</w:t>
      </w:r>
      <w:r>
        <w:rPr>
          <w:rFonts w:hint="eastAsia" w:asciiTheme="minorHAnsi" w:hAnsiTheme="minorHAnsi" w:cstheme="minorHAnsi"/>
        </w:rPr>
        <w:t>；小麦秸秆</w:t>
      </w:r>
      <w:r>
        <w:rPr>
          <w:rFonts w:asciiTheme="minorHAnsi" w:hAnsiTheme="minorHAnsi" w:cstheme="minorHAnsi"/>
        </w:rPr>
        <w:t>2.18</w:t>
      </w:r>
      <w:r>
        <w:rPr>
          <w:rFonts w:hint="eastAsia" w:asciiTheme="minorHAnsi" w:hAnsiTheme="minorHAnsi" w:cstheme="minorHAnsi"/>
        </w:rPr>
        <w:t>万吨，占比约</w:t>
      </w:r>
      <w:r>
        <w:rPr>
          <w:rFonts w:asciiTheme="minorHAnsi" w:hAnsiTheme="minorHAnsi" w:cstheme="minorHAnsi"/>
        </w:rPr>
        <w:t>37.4%</w:t>
      </w:r>
      <w:r>
        <w:rPr>
          <w:rFonts w:hint="eastAsia" w:asciiTheme="minorHAnsi" w:hAnsiTheme="minorHAnsi" w:cstheme="minorHAnsi"/>
        </w:rPr>
        <w:t>，大豆、稻谷及其他杂粮秸秆</w:t>
      </w:r>
      <w:r>
        <w:rPr>
          <w:rFonts w:asciiTheme="minorHAnsi" w:hAnsiTheme="minorHAnsi" w:cstheme="minorHAnsi"/>
        </w:rPr>
        <w:t>0.54</w:t>
      </w:r>
      <w:r>
        <w:rPr>
          <w:rFonts w:hint="eastAsia" w:asciiTheme="minorHAnsi" w:hAnsiTheme="minorHAnsi" w:cstheme="minorHAnsi"/>
        </w:rPr>
        <w:t>万吨，占比约</w:t>
      </w:r>
      <w:r>
        <w:rPr>
          <w:rFonts w:asciiTheme="minorHAnsi" w:hAnsiTheme="minorHAnsi" w:cstheme="minorHAnsi"/>
        </w:rPr>
        <w:t>9.2%</w:t>
      </w:r>
      <w:r>
        <w:rPr>
          <w:rFonts w:hint="eastAsia" w:asciiTheme="minorHAnsi" w:hAnsiTheme="minorHAnsi" w:cstheme="minorHAnsi"/>
        </w:rPr>
        <w:t>。</w:t>
      </w:r>
    </w:p>
    <w:p>
      <w:pPr>
        <w:widowControl/>
        <w:spacing w:line="384" w:lineRule="auto"/>
        <w:ind w:firstLine="560" w:firstLineChars="200"/>
        <w:rPr>
          <w:rFonts w:asciiTheme="minorHAnsi" w:hAnsiTheme="minorHAnsi" w:cstheme="minorHAnsi"/>
        </w:rPr>
      </w:pPr>
      <w:bookmarkStart w:id="8" w:name="_Hlk119601901"/>
      <w:r>
        <w:rPr>
          <w:rFonts w:hint="eastAsia" w:asciiTheme="minorHAnsi" w:hAnsiTheme="minorHAnsi" w:cstheme="minorHAnsi"/>
        </w:rPr>
        <w:t>瓜秧尾菜废弃物资源量</w:t>
      </w:r>
      <w:r>
        <w:rPr>
          <w:rFonts w:asciiTheme="minorHAnsi" w:hAnsiTheme="minorHAnsi" w:cstheme="minorHAnsi"/>
        </w:rPr>
        <w:t>18.60</w:t>
      </w:r>
      <w:r>
        <w:rPr>
          <w:rFonts w:hint="eastAsia" w:asciiTheme="minorHAnsi" w:hAnsiTheme="minorHAnsi" w:cstheme="minorHAnsi"/>
        </w:rPr>
        <w:t>万吨（鲜重），其中，西瓜瓜秧约</w:t>
      </w:r>
      <w:r>
        <w:rPr>
          <w:rFonts w:asciiTheme="minorHAnsi" w:hAnsiTheme="minorHAnsi" w:cstheme="minorHAnsi"/>
        </w:rPr>
        <w:t>6.97</w:t>
      </w:r>
      <w:r>
        <w:rPr>
          <w:rFonts w:hint="eastAsia" w:asciiTheme="minorHAnsi" w:hAnsiTheme="minorHAnsi" w:cstheme="minorHAnsi"/>
        </w:rPr>
        <w:t>万吨，占比约</w:t>
      </w:r>
      <w:r>
        <w:rPr>
          <w:rFonts w:asciiTheme="minorHAnsi" w:hAnsiTheme="minorHAnsi" w:cstheme="minorHAnsi"/>
        </w:rPr>
        <w:t>37.5%</w:t>
      </w:r>
      <w:r>
        <w:rPr>
          <w:rFonts w:hint="eastAsia" w:asciiTheme="minorHAnsi" w:hAnsiTheme="minorHAnsi" w:cstheme="minorHAnsi"/>
        </w:rPr>
        <w:t>；甘蓝、白菜类尾菜约</w:t>
      </w:r>
      <w:r>
        <w:rPr>
          <w:rFonts w:asciiTheme="minorHAnsi" w:hAnsiTheme="minorHAnsi" w:cstheme="minorHAnsi"/>
        </w:rPr>
        <w:t>5.25</w:t>
      </w:r>
      <w:r>
        <w:rPr>
          <w:rFonts w:hint="eastAsia" w:asciiTheme="minorHAnsi" w:hAnsiTheme="minorHAnsi" w:cstheme="minorHAnsi"/>
        </w:rPr>
        <w:t>万吨，占比约</w:t>
      </w:r>
      <w:r>
        <w:rPr>
          <w:rFonts w:asciiTheme="minorHAnsi" w:hAnsiTheme="minorHAnsi" w:cstheme="minorHAnsi"/>
        </w:rPr>
        <w:t>28.2%</w:t>
      </w:r>
      <w:r>
        <w:rPr>
          <w:rFonts w:hint="eastAsia" w:asciiTheme="minorHAnsi" w:hAnsiTheme="minorHAnsi" w:cstheme="minorHAnsi"/>
        </w:rPr>
        <w:t>；茄果类废秧约</w:t>
      </w:r>
      <w:r>
        <w:rPr>
          <w:rFonts w:asciiTheme="minorHAnsi" w:hAnsiTheme="minorHAnsi" w:cstheme="minorHAnsi"/>
        </w:rPr>
        <w:t>2.81</w:t>
      </w:r>
      <w:r>
        <w:rPr>
          <w:rFonts w:hint="eastAsia" w:asciiTheme="minorHAnsi" w:hAnsiTheme="minorHAnsi" w:cstheme="minorHAnsi"/>
        </w:rPr>
        <w:t>万吨，占比约</w:t>
      </w:r>
      <w:r>
        <w:rPr>
          <w:rFonts w:asciiTheme="minorHAnsi" w:hAnsiTheme="minorHAnsi" w:cstheme="minorHAnsi"/>
        </w:rPr>
        <w:t>15.1%</w:t>
      </w:r>
      <w:r>
        <w:rPr>
          <w:rFonts w:hint="eastAsia" w:asciiTheme="minorHAnsi" w:hAnsiTheme="minorHAnsi" w:cstheme="minorHAnsi"/>
        </w:rPr>
        <w:t>；瓜果类废秧、叶菜类废叶、根茎类废叶等其他尾菜约</w:t>
      </w:r>
      <w:r>
        <w:rPr>
          <w:rFonts w:asciiTheme="minorHAnsi" w:hAnsiTheme="minorHAnsi" w:cstheme="minorHAnsi"/>
        </w:rPr>
        <w:t>3.57</w:t>
      </w:r>
      <w:r>
        <w:rPr>
          <w:rFonts w:hint="eastAsia" w:asciiTheme="minorHAnsi" w:hAnsiTheme="minorHAnsi" w:cstheme="minorHAnsi"/>
        </w:rPr>
        <w:t>万吨，占比约</w:t>
      </w:r>
      <w:r>
        <w:rPr>
          <w:rFonts w:asciiTheme="minorHAnsi" w:hAnsiTheme="minorHAnsi" w:cstheme="minorHAnsi"/>
        </w:rPr>
        <w:t>19.2%</w:t>
      </w:r>
      <w:r>
        <w:rPr>
          <w:rFonts w:hint="eastAsia" w:asciiTheme="minorHAnsi" w:hAnsiTheme="minorHAnsi" w:cstheme="minorHAnsi"/>
        </w:rPr>
        <w:t>。</w:t>
      </w:r>
    </w:p>
    <w:bookmarkEnd w:id="8"/>
    <w:p>
      <w:pPr>
        <w:widowControl/>
        <w:spacing w:line="384" w:lineRule="auto"/>
        <w:ind w:firstLine="560" w:firstLineChars="200"/>
        <w:rPr>
          <w:rFonts w:asciiTheme="minorHAnsi" w:hAnsiTheme="minorHAnsi" w:cstheme="minorHAnsi"/>
          <w:highlight w:val="yellow"/>
        </w:rPr>
      </w:pPr>
      <w:r>
        <w:rPr>
          <w:rFonts w:hint="eastAsia" w:asciiTheme="minorHAnsi" w:hAnsiTheme="minorHAnsi" w:cstheme="minorHAnsi"/>
        </w:rPr>
        <w:t>果树枝条废弃物</w:t>
      </w:r>
      <w:r>
        <w:rPr>
          <w:rFonts w:asciiTheme="minorHAnsi" w:hAnsiTheme="minorHAnsi" w:cstheme="minorHAnsi"/>
        </w:rPr>
        <w:t>2.76</w:t>
      </w:r>
      <w:r>
        <w:rPr>
          <w:rFonts w:hint="eastAsia" w:asciiTheme="minorHAnsi" w:hAnsiTheme="minorHAnsi" w:cstheme="minorHAnsi"/>
        </w:rPr>
        <w:t>万吨（鲜重），其中，桃树剪枝约</w:t>
      </w:r>
      <w:r>
        <w:rPr>
          <w:rFonts w:asciiTheme="minorHAnsi" w:hAnsiTheme="minorHAnsi" w:cstheme="minorHAnsi"/>
        </w:rPr>
        <w:t>1.18</w:t>
      </w:r>
      <w:r>
        <w:rPr>
          <w:rFonts w:hint="eastAsia" w:asciiTheme="minorHAnsi" w:hAnsiTheme="minorHAnsi" w:cstheme="minorHAnsi"/>
        </w:rPr>
        <w:t>万吨，占比</w:t>
      </w:r>
      <w:r>
        <w:rPr>
          <w:rFonts w:asciiTheme="minorHAnsi" w:hAnsiTheme="minorHAnsi" w:cstheme="minorHAnsi"/>
        </w:rPr>
        <w:t>42.8%</w:t>
      </w:r>
      <w:r>
        <w:rPr>
          <w:rFonts w:hint="eastAsia" w:asciiTheme="minorHAnsi" w:hAnsiTheme="minorHAnsi" w:cstheme="minorHAnsi"/>
        </w:rPr>
        <w:t>；梨树剪枝约</w:t>
      </w:r>
      <w:r>
        <w:rPr>
          <w:rFonts w:asciiTheme="minorHAnsi" w:hAnsiTheme="minorHAnsi" w:cstheme="minorHAnsi"/>
        </w:rPr>
        <w:t>0.94</w:t>
      </w:r>
      <w:r>
        <w:rPr>
          <w:rFonts w:hint="eastAsia" w:asciiTheme="minorHAnsi" w:hAnsiTheme="minorHAnsi" w:cstheme="minorHAnsi"/>
        </w:rPr>
        <w:t>万吨，占比</w:t>
      </w:r>
      <w:r>
        <w:rPr>
          <w:rFonts w:asciiTheme="minorHAnsi" w:hAnsiTheme="minorHAnsi" w:cstheme="minorHAnsi"/>
        </w:rPr>
        <w:t>34.0%</w:t>
      </w:r>
      <w:r>
        <w:rPr>
          <w:rFonts w:hint="eastAsia" w:asciiTheme="minorHAnsi" w:hAnsiTheme="minorHAnsi" w:cstheme="minorHAnsi"/>
        </w:rPr>
        <w:t>；葡萄剪枝约</w:t>
      </w:r>
      <w:r>
        <w:rPr>
          <w:rFonts w:asciiTheme="minorHAnsi" w:hAnsiTheme="minorHAnsi" w:cstheme="minorHAnsi"/>
        </w:rPr>
        <w:t>0.41</w:t>
      </w:r>
      <w:r>
        <w:rPr>
          <w:rFonts w:hint="eastAsia" w:asciiTheme="minorHAnsi" w:hAnsiTheme="minorHAnsi" w:cstheme="minorHAnsi"/>
        </w:rPr>
        <w:t>万吨，占比</w:t>
      </w:r>
      <w:r>
        <w:rPr>
          <w:rFonts w:asciiTheme="minorHAnsi" w:hAnsiTheme="minorHAnsi" w:cstheme="minorHAnsi"/>
        </w:rPr>
        <w:t>14.9%</w:t>
      </w:r>
      <w:r>
        <w:rPr>
          <w:rFonts w:hint="eastAsia" w:asciiTheme="minorHAnsi" w:hAnsiTheme="minorHAnsi" w:cstheme="minorHAnsi"/>
        </w:rPr>
        <w:t>；苹果、樱桃、枣、杏等剪枝约</w:t>
      </w:r>
      <w:r>
        <w:rPr>
          <w:rFonts w:asciiTheme="minorHAnsi" w:hAnsiTheme="minorHAnsi" w:cstheme="minorHAnsi"/>
        </w:rPr>
        <w:t>0.23</w:t>
      </w:r>
      <w:r>
        <w:rPr>
          <w:rFonts w:hint="eastAsia" w:asciiTheme="minorHAnsi" w:hAnsiTheme="minorHAnsi" w:cstheme="minorHAnsi"/>
        </w:rPr>
        <w:t>万吨，占比</w:t>
      </w:r>
      <w:r>
        <w:rPr>
          <w:rFonts w:asciiTheme="minorHAnsi" w:hAnsiTheme="minorHAnsi" w:cstheme="minorHAnsi"/>
        </w:rPr>
        <w:t>8.2%</w:t>
      </w:r>
      <w:r>
        <w:rPr>
          <w:rFonts w:hint="eastAsia" w:asciiTheme="minorHAnsi" w:hAnsiTheme="minorHAnsi" w:cstheme="minorHAnsi"/>
        </w:rPr>
        <w:t>。</w:t>
      </w:r>
    </w:p>
    <w:p>
      <w:pPr>
        <w:pStyle w:val="4"/>
        <w:rPr>
          <w:rFonts w:cstheme="minorHAnsi"/>
        </w:rPr>
      </w:pPr>
      <w:r>
        <w:rPr>
          <w:rFonts w:cstheme="minorHAnsi"/>
        </w:rPr>
        <w:t>2．秸秆类废弃物资源分布</w:t>
      </w:r>
    </w:p>
    <w:p>
      <w:pPr>
        <w:widowControl/>
        <w:ind w:firstLine="562" w:firstLineChars="200"/>
        <w:rPr>
          <w:rFonts w:asciiTheme="minorHAnsi" w:hAnsiTheme="minorHAnsi" w:cstheme="minorHAnsi"/>
        </w:rPr>
      </w:pPr>
      <w:r>
        <w:rPr>
          <w:rFonts w:asciiTheme="minorHAnsi" w:hAnsiTheme="minorHAnsi" w:cstheme="minorHAnsi"/>
          <w:b/>
          <w:bCs/>
        </w:rPr>
        <w:t>从镇域资源分布看，</w:t>
      </w:r>
      <w:r>
        <w:rPr>
          <w:rFonts w:asciiTheme="minorHAnsi" w:hAnsiTheme="minorHAnsi" w:cstheme="minorHAnsi"/>
        </w:rPr>
        <w:t>全区秸秆类废弃物主要分布在庞各庄、榆垡</w:t>
      </w:r>
      <w:r>
        <w:rPr>
          <w:rFonts w:hint="eastAsia" w:asciiTheme="minorHAnsi" w:hAnsiTheme="minorHAnsi" w:cstheme="minorHAnsi"/>
        </w:rPr>
        <w:t>两</w:t>
      </w:r>
      <w:r>
        <w:rPr>
          <w:rFonts w:asciiTheme="minorHAnsi" w:hAnsiTheme="minorHAnsi" w:cstheme="minorHAnsi"/>
        </w:rPr>
        <w:t>个镇，</w:t>
      </w:r>
      <w:r>
        <w:rPr>
          <w:rFonts w:hint="eastAsia" w:asciiTheme="minorHAnsi" w:hAnsiTheme="minorHAnsi" w:cstheme="minorHAnsi"/>
        </w:rPr>
        <w:t>分别</w:t>
      </w:r>
      <w:r>
        <w:rPr>
          <w:rFonts w:asciiTheme="minorHAnsi" w:hAnsiTheme="minorHAnsi" w:cstheme="minorHAnsi"/>
        </w:rPr>
        <w:t>占全区总量的36.87%</w:t>
      </w:r>
      <w:r>
        <w:rPr>
          <w:rFonts w:hint="eastAsia" w:asciiTheme="minorHAnsi" w:hAnsiTheme="minorHAnsi" w:cstheme="minorHAnsi"/>
        </w:rPr>
        <w:t>、1</w:t>
      </w:r>
      <w:r>
        <w:rPr>
          <w:rFonts w:asciiTheme="minorHAnsi" w:hAnsiTheme="minorHAnsi" w:cstheme="minorHAnsi"/>
        </w:rPr>
        <w:t>5.72</w:t>
      </w:r>
      <w:r>
        <w:rPr>
          <w:rFonts w:hint="eastAsia" w:asciiTheme="minorHAnsi" w:hAnsiTheme="minorHAnsi" w:cstheme="minorHAnsi"/>
        </w:rPr>
        <w:t>%；其次是青云店镇、礼贤镇，分别占全区总量的1</w:t>
      </w:r>
      <w:r>
        <w:rPr>
          <w:rFonts w:asciiTheme="minorHAnsi" w:hAnsiTheme="minorHAnsi" w:cstheme="minorHAnsi"/>
        </w:rPr>
        <w:t>1.56</w:t>
      </w:r>
      <w:r>
        <w:rPr>
          <w:rFonts w:hint="eastAsia" w:asciiTheme="minorHAnsi" w:hAnsiTheme="minorHAnsi" w:cstheme="minorHAnsi"/>
        </w:rPr>
        <w:t>%、1</w:t>
      </w:r>
      <w:r>
        <w:rPr>
          <w:rFonts w:asciiTheme="minorHAnsi" w:hAnsiTheme="minorHAnsi" w:cstheme="minorHAnsi"/>
        </w:rPr>
        <w:t>1.23</w:t>
      </w:r>
      <w:r>
        <w:rPr>
          <w:rFonts w:hint="eastAsia" w:asciiTheme="minorHAnsi" w:hAnsiTheme="minorHAnsi" w:cstheme="minorHAnsi"/>
        </w:rPr>
        <w:t>%</w:t>
      </w:r>
      <w:r>
        <w:rPr>
          <w:rFonts w:asciiTheme="minorHAnsi" w:hAnsiTheme="minorHAnsi" w:cstheme="minorHAnsi"/>
        </w:rPr>
        <w:t>。</w:t>
      </w:r>
      <w:r>
        <w:rPr>
          <w:rFonts w:asciiTheme="minorHAnsi" w:hAnsiTheme="minorHAnsi" w:cstheme="minorHAnsi"/>
          <w:b/>
          <w:bCs/>
        </w:rPr>
        <w:t>从废弃物资源类型看，</w:t>
      </w:r>
      <w:r>
        <w:rPr>
          <w:rFonts w:asciiTheme="minorHAnsi" w:hAnsiTheme="minorHAnsi" w:cstheme="minorHAnsi"/>
        </w:rPr>
        <w:t>农作物秸秆主要分布在庞各庄、榆垡</w:t>
      </w:r>
      <w:r>
        <w:rPr>
          <w:rFonts w:hint="eastAsia" w:asciiTheme="minorHAnsi" w:hAnsiTheme="minorHAnsi" w:cstheme="minorHAnsi"/>
        </w:rPr>
        <w:t>两</w:t>
      </w:r>
      <w:r>
        <w:rPr>
          <w:rFonts w:asciiTheme="minorHAnsi" w:hAnsiTheme="minorHAnsi" w:cstheme="minorHAnsi"/>
        </w:rPr>
        <w:t>个镇，废弃物资源量</w:t>
      </w:r>
      <w:r>
        <w:rPr>
          <w:rFonts w:hint="eastAsia" w:asciiTheme="minorHAnsi" w:hAnsiTheme="minorHAnsi" w:cstheme="minorHAnsi"/>
        </w:rPr>
        <w:t>分别</w:t>
      </w:r>
      <w:r>
        <w:rPr>
          <w:rFonts w:asciiTheme="minorHAnsi" w:hAnsiTheme="minorHAnsi" w:cstheme="minorHAnsi"/>
        </w:rPr>
        <w:t>占全区总量的23.8%</w:t>
      </w:r>
      <w:r>
        <w:rPr>
          <w:rFonts w:hint="eastAsia" w:asciiTheme="minorHAnsi" w:hAnsiTheme="minorHAnsi" w:cstheme="minorHAnsi"/>
        </w:rPr>
        <w:t>、1</w:t>
      </w:r>
      <w:r>
        <w:rPr>
          <w:rFonts w:asciiTheme="minorHAnsi" w:hAnsiTheme="minorHAnsi" w:cstheme="minorHAnsi"/>
        </w:rPr>
        <w:t>7.57</w:t>
      </w:r>
      <w:r>
        <w:rPr>
          <w:rFonts w:hint="eastAsia" w:asciiTheme="minorHAnsi" w:hAnsiTheme="minorHAnsi" w:cstheme="minorHAnsi"/>
        </w:rPr>
        <w:t>%，其次是青云店镇，占全区总量的1</w:t>
      </w:r>
      <w:r>
        <w:rPr>
          <w:rFonts w:asciiTheme="minorHAnsi" w:hAnsiTheme="minorHAnsi" w:cstheme="minorHAnsi"/>
        </w:rPr>
        <w:t>1.56</w:t>
      </w:r>
      <w:r>
        <w:rPr>
          <w:rFonts w:hint="eastAsia" w:asciiTheme="minorHAnsi" w:hAnsiTheme="minorHAnsi" w:cstheme="minorHAnsi"/>
        </w:rPr>
        <w:t>%。</w:t>
      </w:r>
      <w:r>
        <w:rPr>
          <w:rFonts w:asciiTheme="minorHAnsi" w:hAnsiTheme="minorHAnsi" w:cstheme="minorHAnsi"/>
        </w:rPr>
        <w:t>瓜秧尾菜主要分布在庞各庄镇，废弃物资源量占全区总量的44.04%，其次是榆垡</w:t>
      </w:r>
      <w:r>
        <w:rPr>
          <w:rFonts w:hint="eastAsia" w:asciiTheme="minorHAnsi" w:hAnsiTheme="minorHAnsi" w:cstheme="minorHAnsi"/>
        </w:rPr>
        <w:t>，</w:t>
      </w:r>
      <w:r>
        <w:rPr>
          <w:rFonts w:asciiTheme="minorHAnsi" w:hAnsiTheme="minorHAnsi" w:cstheme="minorHAnsi"/>
        </w:rPr>
        <w:t>废弃物资源量占全区总量的15.37%</w:t>
      </w:r>
      <w:r>
        <w:rPr>
          <w:rFonts w:hint="eastAsia" w:asciiTheme="minorHAnsi" w:hAnsiTheme="minorHAnsi" w:cstheme="minorHAnsi"/>
        </w:rPr>
        <w:t>.</w:t>
      </w:r>
      <w:r>
        <w:rPr>
          <w:rFonts w:asciiTheme="minorHAnsi" w:hAnsiTheme="minorHAnsi" w:cstheme="minorHAnsi"/>
        </w:rPr>
        <w:t>果树枝条主要分布在庞各庄</w:t>
      </w:r>
      <w:r>
        <w:rPr>
          <w:rFonts w:hint="eastAsia" w:asciiTheme="minorHAnsi" w:hAnsiTheme="minorHAnsi" w:cstheme="minorHAnsi"/>
        </w:rPr>
        <w:t>镇</w:t>
      </w:r>
      <w:r>
        <w:rPr>
          <w:rFonts w:asciiTheme="minorHAnsi" w:hAnsiTheme="minorHAnsi" w:cstheme="minorHAnsi"/>
        </w:rPr>
        <w:t>、采育镇，废弃物资源量</w:t>
      </w:r>
      <w:r>
        <w:rPr>
          <w:rFonts w:hint="eastAsia" w:asciiTheme="minorHAnsi" w:hAnsiTheme="minorHAnsi" w:cstheme="minorHAnsi"/>
        </w:rPr>
        <w:t>分别</w:t>
      </w:r>
      <w:r>
        <w:rPr>
          <w:rFonts w:asciiTheme="minorHAnsi" w:hAnsiTheme="minorHAnsi" w:cstheme="minorHAnsi"/>
        </w:rPr>
        <w:t>占全区总量的</w:t>
      </w:r>
      <w:r>
        <w:rPr>
          <w:rFonts w:hint="eastAsia" w:asciiTheme="minorHAnsi" w:hAnsiTheme="minorHAnsi" w:cstheme="minorHAnsi"/>
        </w:rPr>
        <w:t>2</w:t>
      </w:r>
      <w:r>
        <w:rPr>
          <w:rFonts w:asciiTheme="minorHAnsi" w:hAnsiTheme="minorHAnsi" w:cstheme="minorHAnsi"/>
        </w:rPr>
        <w:t>8.26%</w:t>
      </w:r>
      <w:r>
        <w:rPr>
          <w:rFonts w:hint="eastAsia" w:asciiTheme="minorHAnsi" w:hAnsiTheme="minorHAnsi" w:cstheme="minorHAnsi"/>
        </w:rPr>
        <w:t>、2</w:t>
      </w:r>
      <w:r>
        <w:rPr>
          <w:rFonts w:asciiTheme="minorHAnsi" w:hAnsiTheme="minorHAnsi" w:cstheme="minorHAnsi"/>
        </w:rPr>
        <w:t>4.71</w:t>
      </w:r>
      <w:r>
        <w:rPr>
          <w:rFonts w:hint="eastAsia" w:asciiTheme="minorHAnsi" w:hAnsiTheme="minorHAnsi" w:cstheme="minorHAnsi"/>
        </w:rPr>
        <w:t>%，其次是榆垡镇、长子营镇，分别</w:t>
      </w:r>
      <w:r>
        <w:rPr>
          <w:rFonts w:asciiTheme="minorHAnsi" w:hAnsiTheme="minorHAnsi" w:cstheme="minorHAnsi"/>
        </w:rPr>
        <w:t>占全区总量的12.40%</w:t>
      </w:r>
      <w:r>
        <w:rPr>
          <w:rFonts w:hint="eastAsia" w:asciiTheme="minorHAnsi" w:hAnsiTheme="minorHAnsi" w:cstheme="minorHAnsi"/>
        </w:rPr>
        <w:t>、8</w:t>
      </w:r>
      <w:r>
        <w:rPr>
          <w:rFonts w:asciiTheme="minorHAnsi" w:hAnsiTheme="minorHAnsi" w:cstheme="minorHAnsi"/>
        </w:rPr>
        <w:t>.78</w:t>
      </w:r>
      <w:r>
        <w:rPr>
          <w:rFonts w:hint="eastAsia" w:asciiTheme="minorHAnsi" w:hAnsiTheme="minorHAnsi" w:cstheme="minorHAnsi"/>
        </w:rPr>
        <w:t>%</w:t>
      </w:r>
      <w:r>
        <w:rPr>
          <w:rFonts w:asciiTheme="minorHAnsi" w:hAnsiTheme="minorHAnsi" w:cstheme="minorHAnsi"/>
        </w:rPr>
        <w:t>。</w:t>
      </w:r>
    </w:p>
    <w:p>
      <w:pPr>
        <w:widowControl/>
        <w:ind w:firstLine="560" w:firstLineChars="200"/>
        <w:rPr>
          <w:rFonts w:asciiTheme="minorHAnsi" w:hAnsiTheme="minorHAnsi" w:cstheme="minorHAnsi"/>
        </w:rPr>
      </w:pPr>
      <w:r>
        <w:rPr>
          <w:rFonts w:asciiTheme="minorHAnsi" w:hAnsiTheme="minorHAnsi" w:cstheme="minorHAnsi"/>
        </w:rPr>
        <w:t>各镇秸秆类废弃物详细分布情况见图1-2。</w:t>
      </w:r>
    </w:p>
    <w:p>
      <w:pPr>
        <w:pStyle w:val="32"/>
        <w:widowControl/>
        <w:rPr>
          <w:rFonts w:asciiTheme="minorHAnsi" w:hAnsiTheme="minorHAnsi" w:cstheme="minorHAnsi"/>
        </w:rPr>
      </w:pPr>
      <w:r>
        <w:rPr>
          <w:rFonts w:asciiTheme="minorHAnsi" w:hAnsiTheme="minorHAnsi" w:cstheme="minorHAnsi"/>
        </w:rPr>
        <w:drawing>
          <wp:inline distT="0" distB="0" distL="0" distR="0">
            <wp:extent cx="4581525" cy="494284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2">
                      <a:extLst>
                        <a:ext uri="{28A0092B-C50C-407E-A947-70E740481C1C}">
                          <a14:useLocalDpi xmlns:a14="http://schemas.microsoft.com/office/drawing/2010/main" val="0"/>
                        </a:ext>
                      </a:extLst>
                    </a:blip>
                    <a:srcRect l="1451" t="6779" r="1451" b="19140"/>
                    <a:stretch>
                      <a:fillRect/>
                    </a:stretch>
                  </pic:blipFill>
                  <pic:spPr>
                    <a:xfrm>
                      <a:off x="0" y="0"/>
                      <a:ext cx="4604509" cy="4967560"/>
                    </a:xfrm>
                    <a:prstGeom prst="rect">
                      <a:avLst/>
                    </a:prstGeom>
                    <a:noFill/>
                    <a:ln>
                      <a:noFill/>
                    </a:ln>
                  </pic:spPr>
                </pic:pic>
              </a:graphicData>
            </a:graphic>
          </wp:inline>
        </w:drawing>
      </w:r>
    </w:p>
    <w:p>
      <w:pPr>
        <w:pStyle w:val="32"/>
        <w:widowControl/>
        <w:rPr>
          <w:rFonts w:asciiTheme="minorHAnsi" w:hAnsiTheme="minorHAnsi" w:cstheme="minorHAnsi"/>
        </w:rPr>
      </w:pPr>
      <w:r>
        <w:rPr>
          <w:rFonts w:asciiTheme="minorHAnsi" w:hAnsiTheme="minorHAnsi" w:cstheme="minorHAnsi"/>
        </w:rPr>
        <w:t>图1-2 大兴区秸秆类废弃物资源分布图</w:t>
      </w:r>
    </w:p>
    <w:p>
      <w:pPr>
        <w:pStyle w:val="3"/>
        <w:rPr>
          <w:rFonts w:cstheme="minorHAnsi"/>
        </w:rPr>
      </w:pPr>
      <w:bookmarkStart w:id="9" w:name="_Toc119659783"/>
      <w:r>
        <w:rPr>
          <w:rFonts w:cstheme="minorHAnsi"/>
        </w:rPr>
        <w:t>（三）秸秆类废弃物资源量预测</w:t>
      </w:r>
      <w:bookmarkEnd w:id="9"/>
    </w:p>
    <w:p>
      <w:pPr>
        <w:widowControl/>
        <w:ind w:firstLine="560" w:firstLineChars="200"/>
        <w:rPr>
          <w:rFonts w:asciiTheme="minorHAnsi" w:hAnsiTheme="minorHAnsi" w:cstheme="minorHAnsi"/>
        </w:rPr>
      </w:pPr>
      <w:r>
        <w:rPr>
          <w:rFonts w:asciiTheme="minorHAnsi" w:hAnsiTheme="minorHAnsi" w:cstheme="minorHAnsi"/>
        </w:rPr>
        <w:t>“十四五”期间，大兴区农业产业结构将持续优化升级，都市型现代农业保持健康发展</w:t>
      </w:r>
      <w:bookmarkStart w:id="10" w:name="_Hlk106614457"/>
      <w:r>
        <w:rPr>
          <w:rFonts w:asciiTheme="minorHAnsi" w:hAnsiTheme="minorHAnsi" w:cstheme="minorHAnsi"/>
        </w:rPr>
        <w:t>，未来仍然是京郊重要的粮食、蔬菜、瓜果等供应基地，粮食播种面积将实现翻一番，播种面积预计达到20万亩，设施农业和林果业面积将基本保持稳定</w:t>
      </w:r>
      <w:bookmarkEnd w:id="10"/>
      <w:r>
        <w:rPr>
          <w:rFonts w:asciiTheme="minorHAnsi" w:hAnsiTheme="minorHAnsi" w:cstheme="minorHAnsi"/>
        </w:rPr>
        <w:t>。因此，全区秸秆类废弃物资源量将逐年增加并达到基本稳定，预计到“十四五”末，农作物秸秆、尾菜、果树枝条等秸秆类废弃物资源量（鲜重）</w:t>
      </w:r>
      <w:r>
        <w:rPr>
          <w:rFonts w:asciiTheme="minorHAnsi" w:hAnsiTheme="minorHAnsi" w:cstheme="minorHAnsi"/>
          <w:color w:val="auto"/>
          <w:highlight w:val="none"/>
        </w:rPr>
        <w:t>将达到3</w:t>
      </w:r>
      <w:r>
        <w:rPr>
          <w:rFonts w:hint="eastAsia" w:asciiTheme="minorHAnsi" w:hAnsiTheme="minorHAnsi" w:cstheme="minorHAnsi"/>
          <w:color w:val="auto"/>
          <w:highlight w:val="none"/>
          <w:lang w:val="en-US" w:eastAsia="zh-CN"/>
        </w:rPr>
        <w:t>6</w:t>
      </w:r>
      <w:r>
        <w:rPr>
          <w:rFonts w:asciiTheme="minorHAnsi" w:hAnsiTheme="minorHAnsi" w:cstheme="minorHAnsi"/>
          <w:color w:val="auto"/>
          <w:highlight w:val="none"/>
        </w:rPr>
        <w:t>万吨左右。</w:t>
      </w:r>
    </w:p>
    <w:p>
      <w:pPr>
        <w:pStyle w:val="3"/>
        <w:rPr>
          <w:rFonts w:cstheme="minorHAnsi"/>
        </w:rPr>
      </w:pPr>
      <w:bookmarkStart w:id="11" w:name="_Toc119659784"/>
      <w:r>
        <w:rPr>
          <w:rFonts w:cstheme="minorHAnsi"/>
        </w:rPr>
        <w:t>（四）秸秆综合利用成效</w:t>
      </w:r>
      <w:bookmarkEnd w:id="11"/>
    </w:p>
    <w:p>
      <w:pPr>
        <w:pStyle w:val="4"/>
        <w:rPr>
          <w:rFonts w:cstheme="minorHAnsi"/>
        </w:rPr>
      </w:pPr>
      <w:r>
        <w:rPr>
          <w:rFonts w:cstheme="minorHAnsi"/>
        </w:rPr>
        <w:t>1．秸秆利用现状</w:t>
      </w:r>
    </w:p>
    <w:p>
      <w:pPr>
        <w:widowControl/>
        <w:ind w:firstLine="560" w:firstLineChars="200"/>
        <w:rPr>
          <w:rFonts w:asciiTheme="minorHAnsi" w:hAnsiTheme="minorHAnsi" w:cstheme="minorHAnsi"/>
        </w:rPr>
      </w:pPr>
      <w:bookmarkStart w:id="12" w:name="_Hlk119601919"/>
      <w:r>
        <w:rPr>
          <w:rFonts w:asciiTheme="minorHAnsi" w:hAnsiTheme="minorHAnsi" w:cstheme="minorHAnsi"/>
        </w:rPr>
        <w:t>2022</w:t>
      </w:r>
      <w:r>
        <w:rPr>
          <w:rFonts w:hint="eastAsia" w:asciiTheme="minorHAnsi" w:hAnsiTheme="minorHAnsi" w:cstheme="minorHAnsi"/>
        </w:rPr>
        <w:t>年，大兴区秸秆类废弃物年利用总量约</w:t>
      </w:r>
      <w:r>
        <w:rPr>
          <w:rFonts w:asciiTheme="minorHAnsi" w:hAnsiTheme="minorHAnsi" w:cstheme="minorHAnsi"/>
        </w:rPr>
        <w:t>17.5</w:t>
      </w:r>
      <w:r>
        <w:rPr>
          <w:rFonts w:hint="eastAsia" w:asciiTheme="minorHAnsi" w:hAnsiTheme="minorHAnsi" w:cstheme="minorHAnsi"/>
        </w:rPr>
        <w:t>万吨（含平原造林废弃物），其中，农作物秸秆利用量</w:t>
      </w:r>
      <w:r>
        <w:rPr>
          <w:rFonts w:asciiTheme="minorHAnsi" w:hAnsiTheme="minorHAnsi" w:cstheme="minorHAnsi"/>
        </w:rPr>
        <w:t>5.83</w:t>
      </w:r>
      <w:r>
        <w:rPr>
          <w:rFonts w:hint="eastAsia" w:asciiTheme="minorHAnsi" w:hAnsiTheme="minorHAnsi" w:cstheme="minorHAnsi"/>
        </w:rPr>
        <w:t>万吨，已基本实现全量化利用；瓜秧尾菜利用量约</w:t>
      </w:r>
      <w:r>
        <w:rPr>
          <w:rFonts w:asciiTheme="minorHAnsi" w:hAnsiTheme="minorHAnsi" w:cstheme="minorHAnsi"/>
        </w:rPr>
        <w:t>5.57</w:t>
      </w:r>
      <w:r>
        <w:rPr>
          <w:rFonts w:hint="eastAsia" w:asciiTheme="minorHAnsi" w:hAnsiTheme="minorHAnsi" w:cstheme="minorHAnsi"/>
        </w:rPr>
        <w:t>万吨，综合利用率仅为</w:t>
      </w:r>
      <w:r>
        <w:rPr>
          <w:rFonts w:asciiTheme="minorHAnsi" w:hAnsiTheme="minorHAnsi" w:cstheme="minorHAnsi"/>
        </w:rPr>
        <w:t>29.95%</w:t>
      </w:r>
      <w:r>
        <w:rPr>
          <w:rFonts w:hint="eastAsia" w:asciiTheme="minorHAnsi" w:hAnsiTheme="minorHAnsi" w:cstheme="minorHAnsi"/>
        </w:rPr>
        <w:t>；林果枝条等废弃物（含平原造林废弃物）利用量约</w:t>
      </w:r>
      <w:r>
        <w:rPr>
          <w:rFonts w:asciiTheme="minorHAnsi" w:hAnsiTheme="minorHAnsi" w:cstheme="minorHAnsi"/>
        </w:rPr>
        <w:t>6.10</w:t>
      </w:r>
      <w:r>
        <w:rPr>
          <w:rFonts w:hint="eastAsia" w:asciiTheme="minorHAnsi" w:hAnsiTheme="minorHAnsi" w:cstheme="minorHAnsi"/>
        </w:rPr>
        <w:t>万吨，综合利用率不到</w:t>
      </w:r>
      <w:r>
        <w:rPr>
          <w:rFonts w:asciiTheme="minorHAnsi" w:hAnsiTheme="minorHAnsi" w:cstheme="minorHAnsi"/>
        </w:rPr>
        <w:t>43%</w:t>
      </w:r>
      <w:r>
        <w:rPr>
          <w:rFonts w:hint="eastAsia" w:asciiTheme="minorHAnsi" w:hAnsiTheme="minorHAnsi" w:cstheme="minorHAnsi"/>
        </w:rPr>
        <w:t>。</w:t>
      </w:r>
      <w:r>
        <w:rPr>
          <w:rFonts w:asciiTheme="minorHAnsi" w:hAnsiTheme="minorHAnsi" w:cstheme="minorHAnsi"/>
        </w:rPr>
        <w:t>详细情况见表1-2。</w:t>
      </w:r>
    </w:p>
    <w:bookmarkEnd w:id="12"/>
    <w:p>
      <w:pPr>
        <w:pStyle w:val="32"/>
        <w:widowControl/>
        <w:rPr>
          <w:rFonts w:asciiTheme="minorHAnsi" w:hAnsiTheme="minorHAnsi" w:cstheme="minorHAnsi"/>
        </w:rPr>
      </w:pPr>
      <w:r>
        <w:rPr>
          <w:rFonts w:asciiTheme="minorHAnsi" w:hAnsiTheme="minorHAnsi" w:cstheme="minorHAnsi"/>
        </w:rPr>
        <w:t>表1-2 2022年秸秆类废弃物综合利用情况</w:t>
      </w:r>
    </w:p>
    <w:tbl>
      <w:tblPr>
        <w:tblStyle w:val="16"/>
        <w:tblW w:w="85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
        <w:gridCol w:w="1238"/>
        <w:gridCol w:w="1393"/>
        <w:gridCol w:w="962"/>
        <w:gridCol w:w="2214"/>
        <w:gridCol w:w="1195"/>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522" w:type="dxa"/>
            <w:shd w:val="clear" w:color="auto" w:fill="9CC2E5" w:themeFill="accent5" w:themeFillTint="99"/>
            <w:vAlign w:val="center"/>
          </w:tcPr>
          <w:p>
            <w:pPr>
              <w:pStyle w:val="32"/>
              <w:widowControl/>
              <w:spacing w:line="240" w:lineRule="auto"/>
              <w:rPr>
                <w:rFonts w:asciiTheme="minorHAnsi" w:hAnsiTheme="minorHAnsi" w:cstheme="minorHAnsi"/>
              </w:rPr>
            </w:pPr>
            <w:r>
              <w:rPr>
                <w:rFonts w:asciiTheme="minorHAnsi" w:hAnsiTheme="minorHAnsi" w:cstheme="minorHAnsi"/>
              </w:rPr>
              <w:t>序号</w:t>
            </w:r>
          </w:p>
        </w:tc>
        <w:tc>
          <w:tcPr>
            <w:tcW w:w="1238" w:type="dxa"/>
            <w:shd w:val="clear" w:color="auto" w:fill="9CC2E5" w:themeFill="accent5" w:themeFillTint="99"/>
            <w:vAlign w:val="center"/>
          </w:tcPr>
          <w:p>
            <w:pPr>
              <w:pStyle w:val="32"/>
              <w:widowControl/>
              <w:spacing w:line="240" w:lineRule="auto"/>
              <w:rPr>
                <w:rFonts w:asciiTheme="minorHAnsi" w:hAnsiTheme="minorHAnsi" w:cstheme="minorHAnsi"/>
              </w:rPr>
            </w:pPr>
            <w:r>
              <w:rPr>
                <w:rFonts w:asciiTheme="minorHAnsi" w:hAnsiTheme="minorHAnsi" w:cstheme="minorHAnsi"/>
              </w:rPr>
              <w:t>类型</w:t>
            </w:r>
          </w:p>
        </w:tc>
        <w:tc>
          <w:tcPr>
            <w:tcW w:w="1393" w:type="dxa"/>
            <w:shd w:val="clear" w:color="auto" w:fill="9CC2E5" w:themeFill="accent5" w:themeFillTint="99"/>
            <w:vAlign w:val="center"/>
          </w:tcPr>
          <w:p>
            <w:pPr>
              <w:pStyle w:val="32"/>
              <w:widowControl/>
              <w:spacing w:line="240" w:lineRule="auto"/>
              <w:rPr>
                <w:rFonts w:asciiTheme="minorHAnsi" w:hAnsiTheme="minorHAnsi" w:cstheme="minorHAnsi"/>
              </w:rPr>
            </w:pPr>
            <w:r>
              <w:rPr>
                <w:rFonts w:asciiTheme="minorHAnsi" w:hAnsiTheme="minorHAnsi" w:cstheme="minorHAnsi"/>
              </w:rPr>
              <w:t>主要成分</w:t>
            </w:r>
          </w:p>
        </w:tc>
        <w:tc>
          <w:tcPr>
            <w:tcW w:w="962" w:type="dxa"/>
            <w:shd w:val="clear" w:color="auto" w:fill="9CC2E5" w:themeFill="accent5" w:themeFillTint="99"/>
            <w:vAlign w:val="center"/>
          </w:tcPr>
          <w:p>
            <w:pPr>
              <w:pStyle w:val="32"/>
              <w:widowControl/>
              <w:spacing w:line="240" w:lineRule="auto"/>
              <w:rPr>
                <w:rFonts w:asciiTheme="minorHAnsi" w:hAnsiTheme="minorHAnsi" w:cstheme="minorHAnsi"/>
              </w:rPr>
            </w:pPr>
            <w:r>
              <w:rPr>
                <w:rFonts w:asciiTheme="minorHAnsi" w:hAnsiTheme="minorHAnsi" w:cstheme="minorHAnsi"/>
              </w:rPr>
              <w:t>产出</w:t>
            </w:r>
          </w:p>
          <w:p>
            <w:pPr>
              <w:pStyle w:val="32"/>
              <w:widowControl/>
              <w:spacing w:line="240" w:lineRule="auto"/>
              <w:rPr>
                <w:rFonts w:asciiTheme="minorHAnsi" w:hAnsiTheme="minorHAnsi" w:cstheme="minorHAnsi"/>
              </w:rPr>
            </w:pPr>
            <w:r>
              <w:rPr>
                <w:rFonts w:asciiTheme="minorHAnsi" w:hAnsiTheme="minorHAnsi" w:cstheme="minorHAnsi"/>
              </w:rPr>
              <w:t>时间</w:t>
            </w:r>
          </w:p>
        </w:tc>
        <w:tc>
          <w:tcPr>
            <w:tcW w:w="2214" w:type="dxa"/>
            <w:shd w:val="clear" w:color="auto" w:fill="9CC2E5" w:themeFill="accent5" w:themeFillTint="99"/>
            <w:vAlign w:val="center"/>
          </w:tcPr>
          <w:p>
            <w:pPr>
              <w:pStyle w:val="32"/>
              <w:widowControl/>
              <w:spacing w:line="240" w:lineRule="auto"/>
              <w:rPr>
                <w:rFonts w:asciiTheme="minorHAnsi" w:hAnsiTheme="minorHAnsi" w:cstheme="minorHAnsi"/>
              </w:rPr>
            </w:pPr>
            <w:r>
              <w:rPr>
                <w:rFonts w:asciiTheme="minorHAnsi" w:hAnsiTheme="minorHAnsi" w:cstheme="minorHAnsi"/>
              </w:rPr>
              <w:t>主要利用方式</w:t>
            </w:r>
          </w:p>
        </w:tc>
        <w:tc>
          <w:tcPr>
            <w:tcW w:w="1195" w:type="dxa"/>
            <w:shd w:val="clear" w:color="auto" w:fill="9CC2E5" w:themeFill="accent5" w:themeFillTint="99"/>
            <w:vAlign w:val="center"/>
          </w:tcPr>
          <w:p>
            <w:pPr>
              <w:pStyle w:val="32"/>
              <w:widowControl/>
              <w:spacing w:line="240" w:lineRule="auto"/>
              <w:rPr>
                <w:rFonts w:asciiTheme="minorHAnsi" w:hAnsiTheme="minorHAnsi" w:cstheme="minorHAnsi"/>
              </w:rPr>
            </w:pPr>
            <w:r>
              <w:rPr>
                <w:rFonts w:asciiTheme="minorHAnsi" w:hAnsiTheme="minorHAnsi" w:cstheme="minorHAnsi"/>
              </w:rPr>
              <w:t>总利用量（万吨）</w:t>
            </w:r>
          </w:p>
        </w:tc>
        <w:tc>
          <w:tcPr>
            <w:tcW w:w="1063" w:type="dxa"/>
            <w:shd w:val="clear" w:color="auto" w:fill="9CC2E5" w:themeFill="accent5" w:themeFillTint="99"/>
            <w:vAlign w:val="center"/>
          </w:tcPr>
          <w:p>
            <w:pPr>
              <w:pStyle w:val="32"/>
              <w:widowControl/>
              <w:spacing w:line="240" w:lineRule="auto"/>
              <w:rPr>
                <w:rFonts w:asciiTheme="minorHAnsi" w:hAnsiTheme="minorHAnsi" w:cstheme="minorHAnsi"/>
              </w:rPr>
            </w:pPr>
            <w:r>
              <w:rPr>
                <w:rFonts w:asciiTheme="minorHAnsi" w:hAnsiTheme="minorHAnsi" w:cstheme="minorHAnsi"/>
              </w:rPr>
              <w:t>综合利用率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2" w:type="dxa"/>
            <w:vAlign w:val="center"/>
          </w:tcPr>
          <w:p>
            <w:pPr>
              <w:pStyle w:val="32"/>
              <w:widowControl/>
              <w:spacing w:line="240" w:lineRule="auto"/>
              <w:rPr>
                <w:rFonts w:asciiTheme="minorHAnsi" w:hAnsiTheme="minorHAnsi" w:cstheme="minorHAnsi"/>
              </w:rPr>
            </w:pPr>
            <w:r>
              <w:rPr>
                <w:rFonts w:asciiTheme="minorHAnsi" w:hAnsiTheme="minorHAnsi" w:cstheme="minorHAnsi"/>
              </w:rPr>
              <w:t>1</w:t>
            </w:r>
          </w:p>
        </w:tc>
        <w:tc>
          <w:tcPr>
            <w:tcW w:w="1238" w:type="dxa"/>
            <w:vAlign w:val="center"/>
          </w:tcPr>
          <w:p>
            <w:pPr>
              <w:pStyle w:val="32"/>
              <w:widowControl/>
              <w:spacing w:line="240" w:lineRule="auto"/>
              <w:rPr>
                <w:rFonts w:asciiTheme="minorHAnsi" w:hAnsiTheme="minorHAnsi" w:cstheme="minorHAnsi"/>
                <w:b w:val="0"/>
                <w:bCs w:val="0"/>
              </w:rPr>
            </w:pPr>
            <w:r>
              <w:rPr>
                <w:rFonts w:asciiTheme="minorHAnsi" w:hAnsiTheme="minorHAnsi" w:cstheme="minorHAnsi"/>
                <w:b w:val="0"/>
                <w:bCs w:val="0"/>
              </w:rPr>
              <w:t>农作物</w:t>
            </w:r>
          </w:p>
          <w:p>
            <w:pPr>
              <w:pStyle w:val="32"/>
              <w:widowControl/>
              <w:spacing w:line="240" w:lineRule="auto"/>
              <w:rPr>
                <w:rFonts w:asciiTheme="minorHAnsi" w:hAnsiTheme="minorHAnsi" w:cstheme="minorHAnsi"/>
                <w:b w:val="0"/>
                <w:bCs w:val="0"/>
              </w:rPr>
            </w:pPr>
            <w:r>
              <w:rPr>
                <w:rFonts w:asciiTheme="minorHAnsi" w:hAnsiTheme="minorHAnsi" w:cstheme="minorHAnsi"/>
                <w:b w:val="0"/>
                <w:bCs w:val="0"/>
              </w:rPr>
              <w:t>秸秆</w:t>
            </w:r>
          </w:p>
        </w:tc>
        <w:tc>
          <w:tcPr>
            <w:tcW w:w="1393" w:type="dxa"/>
            <w:vAlign w:val="center"/>
          </w:tcPr>
          <w:p>
            <w:pPr>
              <w:pStyle w:val="32"/>
              <w:widowControl/>
              <w:spacing w:line="240" w:lineRule="auto"/>
              <w:rPr>
                <w:rFonts w:asciiTheme="minorHAnsi" w:hAnsiTheme="minorHAnsi" w:cstheme="minorHAnsi"/>
                <w:b w:val="0"/>
                <w:bCs w:val="0"/>
              </w:rPr>
            </w:pPr>
            <w:r>
              <w:rPr>
                <w:rFonts w:asciiTheme="minorHAnsi" w:hAnsiTheme="minorHAnsi" w:cstheme="minorHAnsi"/>
                <w:b w:val="0"/>
                <w:bCs w:val="0"/>
              </w:rPr>
              <w:t>麦秆、玉米秸秆等</w:t>
            </w:r>
          </w:p>
        </w:tc>
        <w:tc>
          <w:tcPr>
            <w:tcW w:w="962" w:type="dxa"/>
            <w:vAlign w:val="center"/>
          </w:tcPr>
          <w:p>
            <w:pPr>
              <w:pStyle w:val="32"/>
              <w:widowControl/>
              <w:spacing w:line="240" w:lineRule="auto"/>
              <w:rPr>
                <w:rFonts w:asciiTheme="minorHAnsi" w:hAnsiTheme="minorHAnsi" w:cstheme="minorHAnsi"/>
                <w:b w:val="0"/>
                <w:bCs w:val="0"/>
              </w:rPr>
            </w:pPr>
            <w:r>
              <w:rPr>
                <w:rFonts w:asciiTheme="minorHAnsi" w:hAnsiTheme="minorHAnsi" w:cstheme="minorHAnsi"/>
                <w:b w:val="0"/>
                <w:bCs w:val="0"/>
              </w:rPr>
              <w:t>6月、10月</w:t>
            </w:r>
          </w:p>
        </w:tc>
        <w:tc>
          <w:tcPr>
            <w:tcW w:w="2214" w:type="dxa"/>
            <w:vAlign w:val="center"/>
          </w:tcPr>
          <w:p>
            <w:pPr>
              <w:pStyle w:val="32"/>
              <w:widowControl/>
              <w:spacing w:line="240" w:lineRule="auto"/>
              <w:rPr>
                <w:rFonts w:asciiTheme="minorHAnsi" w:hAnsiTheme="minorHAnsi" w:cstheme="minorHAnsi"/>
                <w:b w:val="0"/>
                <w:bCs w:val="0"/>
              </w:rPr>
            </w:pPr>
            <w:r>
              <w:rPr>
                <w:rFonts w:asciiTheme="minorHAnsi" w:hAnsiTheme="minorHAnsi" w:cstheme="minorHAnsi"/>
                <w:b w:val="0"/>
                <w:bCs w:val="0"/>
              </w:rPr>
              <w:t>粉碎还田、离田饲料化</w:t>
            </w:r>
          </w:p>
        </w:tc>
        <w:tc>
          <w:tcPr>
            <w:tcW w:w="1195" w:type="dxa"/>
            <w:vAlign w:val="center"/>
          </w:tcPr>
          <w:p>
            <w:pPr>
              <w:pStyle w:val="32"/>
              <w:widowControl/>
              <w:spacing w:line="240" w:lineRule="auto"/>
              <w:rPr>
                <w:rFonts w:asciiTheme="minorHAnsi" w:hAnsiTheme="minorHAnsi" w:cstheme="minorHAnsi"/>
                <w:b w:val="0"/>
                <w:bCs w:val="0"/>
              </w:rPr>
            </w:pPr>
            <w:r>
              <w:rPr>
                <w:rFonts w:hint="eastAsia" w:asciiTheme="minorHAnsi" w:hAnsiTheme="minorHAnsi" w:cstheme="minorHAnsi"/>
                <w:b w:val="0"/>
                <w:bCs w:val="0"/>
              </w:rPr>
              <w:t>/</w:t>
            </w:r>
          </w:p>
        </w:tc>
        <w:tc>
          <w:tcPr>
            <w:tcW w:w="1063" w:type="dxa"/>
            <w:vAlign w:val="center"/>
          </w:tcPr>
          <w:p>
            <w:pPr>
              <w:pStyle w:val="32"/>
              <w:widowControl/>
              <w:spacing w:line="240" w:lineRule="auto"/>
              <w:rPr>
                <w:rFonts w:asciiTheme="minorHAnsi" w:hAnsiTheme="minorHAnsi" w:cstheme="minorHAnsi"/>
                <w:b w:val="0"/>
                <w:bCs w:val="0"/>
              </w:rPr>
            </w:pPr>
            <w:r>
              <w:rPr>
                <w:rFonts w:hint="eastAsia" w:asciiTheme="minorHAnsi" w:hAnsiTheme="minorHAnsi" w:cstheme="minorHAnsi"/>
                <w:b w:val="0"/>
                <w:bCs w:val="0"/>
              </w:rPr>
              <w:t>基本实现全量化利用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2" w:type="dxa"/>
            <w:vAlign w:val="center"/>
          </w:tcPr>
          <w:p>
            <w:pPr>
              <w:pStyle w:val="32"/>
              <w:widowControl/>
              <w:spacing w:line="240" w:lineRule="auto"/>
              <w:rPr>
                <w:rFonts w:asciiTheme="minorHAnsi" w:hAnsiTheme="minorHAnsi" w:cstheme="minorHAnsi"/>
              </w:rPr>
            </w:pPr>
            <w:r>
              <w:rPr>
                <w:rFonts w:asciiTheme="minorHAnsi" w:hAnsiTheme="minorHAnsi" w:cstheme="minorHAnsi"/>
              </w:rPr>
              <w:t>2</w:t>
            </w:r>
          </w:p>
        </w:tc>
        <w:tc>
          <w:tcPr>
            <w:tcW w:w="1238" w:type="dxa"/>
            <w:vAlign w:val="center"/>
          </w:tcPr>
          <w:p>
            <w:pPr>
              <w:pStyle w:val="32"/>
              <w:widowControl/>
              <w:spacing w:line="240" w:lineRule="auto"/>
              <w:rPr>
                <w:rFonts w:asciiTheme="minorHAnsi" w:hAnsiTheme="minorHAnsi" w:cstheme="minorHAnsi"/>
                <w:b w:val="0"/>
                <w:bCs w:val="0"/>
              </w:rPr>
            </w:pPr>
            <w:r>
              <w:rPr>
                <w:rFonts w:asciiTheme="minorHAnsi" w:hAnsiTheme="minorHAnsi" w:cstheme="minorHAnsi"/>
                <w:b w:val="0"/>
                <w:bCs w:val="0"/>
              </w:rPr>
              <w:t>瓜秧尾菜</w:t>
            </w:r>
          </w:p>
        </w:tc>
        <w:tc>
          <w:tcPr>
            <w:tcW w:w="1393" w:type="dxa"/>
            <w:vAlign w:val="center"/>
          </w:tcPr>
          <w:p>
            <w:pPr>
              <w:pStyle w:val="32"/>
              <w:widowControl/>
              <w:spacing w:line="240" w:lineRule="auto"/>
              <w:rPr>
                <w:rFonts w:asciiTheme="minorHAnsi" w:hAnsiTheme="minorHAnsi" w:cstheme="minorHAnsi"/>
                <w:b w:val="0"/>
                <w:bCs w:val="0"/>
              </w:rPr>
            </w:pPr>
            <w:r>
              <w:rPr>
                <w:rFonts w:asciiTheme="minorHAnsi" w:hAnsiTheme="minorHAnsi" w:cstheme="minorHAnsi"/>
                <w:b w:val="0"/>
                <w:bCs w:val="0"/>
              </w:rPr>
              <w:t>瓜秧、茄果类尾菜等</w:t>
            </w:r>
          </w:p>
        </w:tc>
        <w:tc>
          <w:tcPr>
            <w:tcW w:w="962" w:type="dxa"/>
            <w:vAlign w:val="center"/>
          </w:tcPr>
          <w:p>
            <w:pPr>
              <w:pStyle w:val="32"/>
              <w:widowControl/>
              <w:spacing w:line="240" w:lineRule="auto"/>
              <w:rPr>
                <w:rFonts w:asciiTheme="minorHAnsi" w:hAnsiTheme="minorHAnsi" w:cstheme="minorHAnsi"/>
                <w:b w:val="0"/>
                <w:bCs w:val="0"/>
              </w:rPr>
            </w:pPr>
            <w:r>
              <w:rPr>
                <w:rFonts w:asciiTheme="minorHAnsi" w:hAnsiTheme="minorHAnsi" w:cstheme="minorHAnsi"/>
                <w:b w:val="0"/>
                <w:bCs w:val="0"/>
              </w:rPr>
              <w:t>5月、10月</w:t>
            </w:r>
          </w:p>
        </w:tc>
        <w:tc>
          <w:tcPr>
            <w:tcW w:w="2214" w:type="dxa"/>
            <w:vAlign w:val="center"/>
          </w:tcPr>
          <w:p>
            <w:pPr>
              <w:pStyle w:val="32"/>
              <w:widowControl/>
              <w:spacing w:line="240" w:lineRule="auto"/>
              <w:rPr>
                <w:rFonts w:asciiTheme="minorHAnsi" w:hAnsiTheme="minorHAnsi" w:cstheme="minorHAnsi"/>
                <w:b w:val="0"/>
                <w:bCs w:val="0"/>
              </w:rPr>
            </w:pPr>
            <w:r>
              <w:rPr>
                <w:rFonts w:asciiTheme="minorHAnsi" w:hAnsiTheme="minorHAnsi" w:cstheme="minorHAnsi"/>
                <w:b w:val="0"/>
                <w:bCs w:val="0"/>
              </w:rPr>
              <w:t>离田肥料化、燃料化利用等</w:t>
            </w:r>
          </w:p>
        </w:tc>
        <w:tc>
          <w:tcPr>
            <w:tcW w:w="1195" w:type="dxa"/>
            <w:vAlign w:val="center"/>
          </w:tcPr>
          <w:p>
            <w:pPr>
              <w:pStyle w:val="32"/>
              <w:widowControl/>
              <w:spacing w:line="240" w:lineRule="auto"/>
              <w:rPr>
                <w:rFonts w:asciiTheme="minorHAnsi" w:hAnsiTheme="minorHAnsi" w:cstheme="minorHAnsi"/>
                <w:b w:val="0"/>
                <w:bCs w:val="0"/>
              </w:rPr>
            </w:pPr>
            <w:r>
              <w:rPr>
                <w:rFonts w:asciiTheme="minorHAnsi" w:hAnsiTheme="minorHAnsi" w:cstheme="minorHAnsi"/>
                <w:b w:val="0"/>
                <w:bCs w:val="0"/>
              </w:rPr>
              <w:t>5.67</w:t>
            </w:r>
          </w:p>
        </w:tc>
        <w:tc>
          <w:tcPr>
            <w:tcW w:w="1063" w:type="dxa"/>
            <w:vAlign w:val="center"/>
          </w:tcPr>
          <w:p>
            <w:pPr>
              <w:pStyle w:val="32"/>
              <w:widowControl/>
              <w:spacing w:line="240" w:lineRule="auto"/>
              <w:rPr>
                <w:rFonts w:asciiTheme="minorHAnsi" w:hAnsiTheme="minorHAnsi" w:cstheme="minorHAnsi"/>
                <w:b w:val="0"/>
                <w:bCs w:val="0"/>
              </w:rPr>
            </w:pPr>
            <w:r>
              <w:rPr>
                <w:rFonts w:asciiTheme="minorHAnsi" w:hAnsiTheme="minorHAnsi" w:cstheme="minorHAnsi"/>
                <w:b w:val="0"/>
                <w:bCs w:val="0"/>
              </w:rPr>
              <w:t>29.95%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2" w:type="dxa"/>
            <w:vAlign w:val="center"/>
          </w:tcPr>
          <w:p>
            <w:pPr>
              <w:pStyle w:val="32"/>
              <w:widowControl/>
              <w:spacing w:line="240" w:lineRule="auto"/>
              <w:rPr>
                <w:rFonts w:asciiTheme="minorHAnsi" w:hAnsiTheme="minorHAnsi" w:cstheme="minorHAnsi"/>
              </w:rPr>
            </w:pPr>
            <w:r>
              <w:rPr>
                <w:rFonts w:asciiTheme="minorHAnsi" w:hAnsiTheme="minorHAnsi" w:cstheme="minorHAnsi"/>
              </w:rPr>
              <w:t>3</w:t>
            </w:r>
          </w:p>
        </w:tc>
        <w:tc>
          <w:tcPr>
            <w:tcW w:w="1238" w:type="dxa"/>
            <w:vAlign w:val="center"/>
          </w:tcPr>
          <w:p>
            <w:pPr>
              <w:pStyle w:val="32"/>
              <w:widowControl/>
              <w:spacing w:line="240" w:lineRule="auto"/>
              <w:rPr>
                <w:rFonts w:asciiTheme="minorHAnsi" w:hAnsiTheme="minorHAnsi" w:cstheme="minorHAnsi"/>
                <w:b w:val="0"/>
                <w:bCs w:val="0"/>
              </w:rPr>
            </w:pPr>
            <w:r>
              <w:rPr>
                <w:rFonts w:asciiTheme="minorHAnsi" w:hAnsiTheme="minorHAnsi" w:cstheme="minorHAnsi"/>
                <w:b w:val="0"/>
                <w:bCs w:val="0"/>
              </w:rPr>
              <w:t>林果枝条</w:t>
            </w:r>
          </w:p>
        </w:tc>
        <w:tc>
          <w:tcPr>
            <w:tcW w:w="1393" w:type="dxa"/>
            <w:vAlign w:val="center"/>
          </w:tcPr>
          <w:p>
            <w:pPr>
              <w:pStyle w:val="32"/>
              <w:widowControl/>
              <w:spacing w:line="240" w:lineRule="auto"/>
              <w:rPr>
                <w:rFonts w:asciiTheme="minorHAnsi" w:hAnsiTheme="minorHAnsi" w:cstheme="minorHAnsi"/>
                <w:b w:val="0"/>
                <w:bCs w:val="0"/>
              </w:rPr>
            </w:pPr>
            <w:r>
              <w:rPr>
                <w:rFonts w:asciiTheme="minorHAnsi" w:hAnsiTheme="minorHAnsi" w:cstheme="minorHAnsi"/>
                <w:b w:val="0"/>
                <w:bCs w:val="0"/>
              </w:rPr>
              <w:t>桃树、梨树剪枝等</w:t>
            </w:r>
          </w:p>
        </w:tc>
        <w:tc>
          <w:tcPr>
            <w:tcW w:w="962" w:type="dxa"/>
            <w:vAlign w:val="center"/>
          </w:tcPr>
          <w:p>
            <w:pPr>
              <w:pStyle w:val="32"/>
              <w:widowControl/>
              <w:spacing w:line="240" w:lineRule="auto"/>
              <w:rPr>
                <w:rFonts w:asciiTheme="minorHAnsi" w:hAnsiTheme="minorHAnsi" w:cstheme="minorHAnsi"/>
                <w:b w:val="0"/>
                <w:bCs w:val="0"/>
              </w:rPr>
            </w:pPr>
            <w:r>
              <w:rPr>
                <w:rFonts w:asciiTheme="minorHAnsi" w:hAnsiTheme="minorHAnsi" w:cstheme="minorHAnsi"/>
                <w:b w:val="0"/>
                <w:bCs w:val="0"/>
              </w:rPr>
              <w:t>4月、6月、12月</w:t>
            </w:r>
          </w:p>
        </w:tc>
        <w:tc>
          <w:tcPr>
            <w:tcW w:w="2214" w:type="dxa"/>
            <w:vAlign w:val="center"/>
          </w:tcPr>
          <w:p>
            <w:pPr>
              <w:pStyle w:val="32"/>
              <w:widowControl/>
              <w:spacing w:line="240" w:lineRule="auto"/>
              <w:rPr>
                <w:rFonts w:asciiTheme="minorHAnsi" w:hAnsiTheme="minorHAnsi" w:cstheme="minorHAnsi"/>
                <w:b w:val="0"/>
                <w:bCs w:val="0"/>
              </w:rPr>
            </w:pPr>
            <w:r>
              <w:rPr>
                <w:rFonts w:asciiTheme="minorHAnsi" w:hAnsiTheme="minorHAnsi" w:cstheme="minorHAnsi"/>
                <w:b w:val="0"/>
                <w:bCs w:val="0"/>
              </w:rPr>
              <w:t>采用粉碎打包燃料化、粉碎肥料化利用为主，制备覆盖材料、食用菌菌棒等资源化利用为辅</w:t>
            </w:r>
          </w:p>
        </w:tc>
        <w:tc>
          <w:tcPr>
            <w:tcW w:w="1195" w:type="dxa"/>
            <w:vAlign w:val="center"/>
          </w:tcPr>
          <w:p>
            <w:pPr>
              <w:pStyle w:val="32"/>
              <w:widowControl/>
              <w:spacing w:line="240" w:lineRule="auto"/>
              <w:rPr>
                <w:rFonts w:asciiTheme="minorHAnsi" w:hAnsiTheme="minorHAnsi" w:cstheme="minorHAnsi"/>
                <w:b w:val="0"/>
                <w:bCs w:val="0"/>
              </w:rPr>
            </w:pPr>
            <w:r>
              <w:rPr>
                <w:rFonts w:asciiTheme="minorHAnsi" w:hAnsiTheme="minorHAnsi" w:cstheme="minorHAnsi"/>
                <w:b w:val="0"/>
                <w:bCs w:val="0"/>
              </w:rPr>
              <w:t>6.1（含平原造林废弃物利用量）</w:t>
            </w:r>
          </w:p>
        </w:tc>
        <w:tc>
          <w:tcPr>
            <w:tcW w:w="1063" w:type="dxa"/>
            <w:vAlign w:val="center"/>
          </w:tcPr>
          <w:p>
            <w:pPr>
              <w:pStyle w:val="32"/>
              <w:widowControl/>
              <w:spacing w:line="240" w:lineRule="auto"/>
              <w:rPr>
                <w:rFonts w:asciiTheme="minorHAnsi" w:hAnsiTheme="minorHAnsi" w:cstheme="minorHAnsi"/>
                <w:b w:val="0"/>
                <w:bCs w:val="0"/>
              </w:rPr>
            </w:pPr>
            <w:r>
              <w:rPr>
                <w:rFonts w:hint="eastAsia" w:asciiTheme="minorHAnsi" w:hAnsiTheme="minorHAnsi" w:cstheme="minorHAnsi"/>
                <w:b w:val="0"/>
                <w:bCs w:val="0"/>
              </w:rPr>
              <w:t>不足</w:t>
            </w:r>
            <w:r>
              <w:rPr>
                <w:rFonts w:asciiTheme="minorHAnsi" w:hAnsiTheme="minorHAnsi" w:cstheme="minorHAnsi"/>
                <w:b w:val="0"/>
                <w:bCs w:val="0"/>
              </w:rPr>
              <w:t>43%</w:t>
            </w:r>
          </w:p>
        </w:tc>
      </w:tr>
    </w:tbl>
    <w:p>
      <w:pPr>
        <w:widowControl/>
        <w:spacing w:line="240" w:lineRule="auto"/>
        <w:rPr>
          <w:rFonts w:asciiTheme="minorHAnsi" w:hAnsiTheme="minorHAnsi" w:cstheme="minorHAnsi"/>
          <w:sz w:val="24"/>
          <w:szCs w:val="21"/>
        </w:rPr>
      </w:pPr>
    </w:p>
    <w:p>
      <w:pPr>
        <w:widowControl/>
        <w:ind w:firstLine="560" w:firstLineChars="200"/>
        <w:rPr>
          <w:rFonts w:asciiTheme="minorHAnsi" w:hAnsiTheme="minorHAnsi" w:cstheme="minorHAnsi"/>
        </w:rPr>
      </w:pPr>
      <w:r>
        <w:rPr>
          <w:rFonts w:asciiTheme="minorHAnsi" w:hAnsiTheme="minorHAnsi" w:cstheme="minorHAnsi"/>
        </w:rPr>
        <w:t>目前，大兴区现已建成秸秆类废弃物资源化利用站点</w:t>
      </w:r>
      <w:r>
        <w:rPr>
          <w:rFonts w:hint="eastAsia" w:asciiTheme="minorHAnsi" w:hAnsiTheme="minorHAnsi" w:cstheme="minorHAnsi"/>
        </w:rPr>
        <w:t>9</w:t>
      </w:r>
      <w:r>
        <w:rPr>
          <w:rFonts w:asciiTheme="minorHAnsi" w:hAnsiTheme="minorHAnsi" w:cstheme="minorHAnsi"/>
        </w:rPr>
        <w:t>处，包括</w:t>
      </w:r>
      <w:r>
        <w:rPr>
          <w:rFonts w:hint="eastAsia" w:asciiTheme="minorHAnsi" w:hAnsiTheme="minorHAnsi" w:cstheme="minorHAnsi"/>
        </w:rPr>
        <w:t>7</w:t>
      </w:r>
      <w:r>
        <w:rPr>
          <w:rFonts w:asciiTheme="minorHAnsi" w:hAnsiTheme="minorHAnsi" w:cstheme="minorHAnsi"/>
        </w:rPr>
        <w:t>个固定站点，2个流动站点，</w:t>
      </w:r>
      <w:r>
        <w:rPr>
          <w:rFonts w:hint="eastAsia" w:asciiTheme="minorHAnsi" w:hAnsiTheme="minorHAnsi" w:cstheme="minorHAnsi"/>
        </w:rPr>
        <w:t>日处理能力约</w:t>
      </w:r>
      <w:r>
        <w:rPr>
          <w:rFonts w:asciiTheme="minorHAnsi" w:hAnsiTheme="minorHAnsi" w:cstheme="minorHAnsi"/>
        </w:rPr>
        <w:t>785</w:t>
      </w:r>
      <w:r>
        <w:rPr>
          <w:rFonts w:hint="eastAsia" w:asciiTheme="minorHAnsi" w:hAnsiTheme="minorHAnsi" w:cstheme="minorHAnsi"/>
        </w:rPr>
        <w:t>吨，年处理能力可达</w:t>
      </w:r>
      <w:r>
        <w:rPr>
          <w:rFonts w:asciiTheme="minorHAnsi" w:hAnsiTheme="minorHAnsi" w:cstheme="minorHAnsi"/>
        </w:rPr>
        <w:t>23.5</w:t>
      </w:r>
      <w:r>
        <w:rPr>
          <w:rFonts w:hint="eastAsia" w:asciiTheme="minorHAnsi" w:hAnsiTheme="minorHAnsi" w:cstheme="minorHAnsi"/>
        </w:rPr>
        <w:t>万吨。9</w:t>
      </w:r>
      <w:r>
        <w:rPr>
          <w:rFonts w:asciiTheme="minorHAnsi" w:hAnsiTheme="minorHAnsi" w:cstheme="minorHAnsi"/>
        </w:rPr>
        <w:t>个站点多为市场主体自主运行，以肥料化、燃料化利用为主。其中，庞各庄镇、长子营镇等7</w:t>
      </w:r>
      <w:r>
        <w:rPr>
          <w:rFonts w:hint="eastAsia" w:asciiTheme="minorHAnsi" w:hAnsiTheme="minorHAnsi" w:cstheme="minorHAnsi"/>
        </w:rPr>
        <w:t>处站点为固定站点，配套收运车辆、粉碎设施设备；北臧村镇、榆垡镇为两处流动站点。</w:t>
      </w:r>
    </w:p>
    <w:p>
      <w:pPr>
        <w:pStyle w:val="4"/>
        <w:rPr>
          <w:rFonts w:cstheme="minorHAnsi"/>
        </w:rPr>
      </w:pPr>
      <w:r>
        <w:rPr>
          <w:rFonts w:cstheme="minorHAnsi"/>
        </w:rPr>
        <w:t>2．取得工作成效</w:t>
      </w:r>
    </w:p>
    <w:p>
      <w:pPr>
        <w:widowControl/>
        <w:ind w:firstLine="560" w:firstLineChars="200"/>
        <w:rPr>
          <w:rFonts w:asciiTheme="minorHAnsi" w:hAnsiTheme="minorHAnsi" w:cstheme="minorHAnsi"/>
          <w:b/>
          <w:bCs/>
        </w:rPr>
      </w:pPr>
      <w:r>
        <w:rPr>
          <w:rFonts w:asciiTheme="minorHAnsi" w:hAnsiTheme="minorHAnsi" w:cstheme="minorHAnsi"/>
        </w:rPr>
        <w:t>近年来，大兴区坚持把全面推进秸秆类废弃物综合利用作为大气污染防治、人居环境整治、推进乡村振兴战略的重要措施来抓，不断完善秸秆收储运体系，持续推进秸秆肥料化、饲料化、基料化和原料化利用，秸秆类废弃物综合利用率逐年提高，农田环境治理工作取得显著成效。</w:t>
      </w:r>
    </w:p>
    <w:p>
      <w:pPr>
        <w:widowControl/>
        <w:ind w:firstLine="562" w:firstLineChars="200"/>
        <w:rPr>
          <w:rFonts w:asciiTheme="minorHAnsi" w:hAnsiTheme="minorHAnsi" w:cstheme="minorHAnsi"/>
        </w:rPr>
      </w:pPr>
      <w:r>
        <w:rPr>
          <w:rFonts w:asciiTheme="minorHAnsi" w:hAnsiTheme="minorHAnsi" w:cstheme="minorHAnsi"/>
          <w:b/>
          <w:bCs/>
        </w:rPr>
        <w:t>综合利用能力稳步提升。</w:t>
      </w:r>
      <w:bookmarkStart w:id="13" w:name="_Hlk106614677"/>
      <w:r>
        <w:rPr>
          <w:rFonts w:asciiTheme="minorHAnsi" w:hAnsiTheme="minorHAnsi" w:cstheme="minorHAnsi"/>
        </w:rPr>
        <w:t>“十三五”期间，大兴区整合各类财政资金和社会资本，重点支持秸秆、尾菜、果树枝条等农业废弃物综合利用，聚焦重点领域和关键环节，先后开展收储运站点建设、秸秆等废弃物综合利用设施设备提升，肥料化、燃料化综合利用试点建设等工作，建设了一批示范</w:t>
      </w:r>
      <w:r>
        <w:rPr>
          <w:rFonts w:hint="eastAsia" w:asciiTheme="minorHAnsi" w:hAnsiTheme="minorHAnsi" w:cstheme="minorHAnsi"/>
          <w:lang w:eastAsia="zh-CN"/>
        </w:rPr>
        <w:t>站点</w:t>
      </w:r>
      <w:r>
        <w:rPr>
          <w:rFonts w:asciiTheme="minorHAnsi" w:hAnsiTheme="minorHAnsi" w:cstheme="minorHAnsi"/>
        </w:rPr>
        <w:t>，培育了一批市场化利用主体。</w:t>
      </w:r>
      <w:bookmarkEnd w:id="13"/>
      <w:r>
        <w:rPr>
          <w:rFonts w:asciiTheme="minorHAnsi" w:hAnsiTheme="minorHAnsi" w:cstheme="minorHAnsi"/>
        </w:rPr>
        <w:t>尤其是通过重点区建设项目的实施，全区秸秆类废弃物综合利用能力进一步提升，2022</w:t>
      </w:r>
      <w:r>
        <w:rPr>
          <w:rFonts w:hint="eastAsia" w:asciiTheme="minorHAnsi" w:hAnsiTheme="minorHAnsi" w:cstheme="minorHAnsi"/>
        </w:rPr>
        <w:t>年全区农作物秸秆基本实现全量化利用，处于全国领先地位。</w:t>
      </w:r>
    </w:p>
    <w:p>
      <w:pPr>
        <w:widowControl/>
        <w:ind w:firstLine="562" w:firstLineChars="200"/>
        <w:rPr>
          <w:rFonts w:asciiTheme="minorHAnsi" w:hAnsiTheme="minorHAnsi" w:cstheme="minorHAnsi"/>
        </w:rPr>
      </w:pPr>
      <w:r>
        <w:rPr>
          <w:rFonts w:asciiTheme="minorHAnsi" w:hAnsiTheme="minorHAnsi" w:cstheme="minorHAnsi"/>
          <w:b/>
          <w:bCs/>
        </w:rPr>
        <w:t>特色运行机制初步建立。</w:t>
      </w:r>
      <w:r>
        <w:rPr>
          <w:rFonts w:asciiTheme="minorHAnsi" w:hAnsiTheme="minorHAnsi" w:cstheme="minorHAnsi"/>
        </w:rPr>
        <w:t>大兴区结合实际情况，探索构建秸秆类废弃物综合利用市场化运行长效机制，初步建立以各镇为单元的区块化、多元化处理模式，因地制宜形成了政府采购为主、企业化运行支撑</w:t>
      </w:r>
      <w:r>
        <w:rPr>
          <w:rFonts w:hint="eastAsia" w:asciiTheme="minorHAnsi" w:hAnsiTheme="minorHAnsi" w:cstheme="minorHAnsi"/>
        </w:rPr>
        <w:t>的</w:t>
      </w:r>
      <w:r>
        <w:rPr>
          <w:rFonts w:asciiTheme="minorHAnsi" w:hAnsiTheme="minorHAnsi" w:cstheme="minorHAnsi"/>
        </w:rPr>
        <w:t>多种秸秆类废弃物综合利用运行机制。其中，庞各庄镇成立镇属公司，开展秸秆等农田废弃物收运、压块处理；北臧村镇、榆垡镇等乡镇采用政府购买服务、第三方承包责任制等方式，由秸秆收集利用合作社（大户）负责全域秸秆等农田废弃物粉碎还田、收集处理；安定镇、魏善庄镇等乡镇采用减免地租等方式，探索建立企业化运行模式；青云店镇、采育镇等乡镇结合养殖粪污处理，探索协同处理机制。</w:t>
      </w:r>
    </w:p>
    <w:p>
      <w:pPr>
        <w:widowControl/>
        <w:ind w:firstLine="562" w:firstLineChars="200"/>
        <w:rPr>
          <w:rFonts w:asciiTheme="minorHAnsi" w:hAnsiTheme="minorHAnsi" w:cstheme="minorHAnsi"/>
        </w:rPr>
      </w:pPr>
      <w:r>
        <w:rPr>
          <w:rFonts w:asciiTheme="minorHAnsi" w:hAnsiTheme="minorHAnsi" w:cstheme="minorHAnsi"/>
          <w:b/>
          <w:bCs/>
        </w:rPr>
        <w:t>设施装备水平不断提升。</w:t>
      </w:r>
      <w:r>
        <w:rPr>
          <w:rFonts w:asciiTheme="minorHAnsi" w:hAnsiTheme="minorHAnsi" w:cstheme="minorHAnsi"/>
        </w:rPr>
        <w:t>依托秸秆综合利用试点区建设，加快秸秆综合集中处理站点建设与提升，</w:t>
      </w:r>
      <w:r>
        <w:rPr>
          <w:rFonts w:hint="eastAsia" w:asciiTheme="minorHAnsi" w:hAnsiTheme="minorHAnsi" w:cstheme="minorHAnsi"/>
        </w:rPr>
        <w:t>已</w:t>
      </w:r>
      <w:r>
        <w:rPr>
          <w:rFonts w:asciiTheme="minorHAnsi" w:hAnsiTheme="minorHAnsi" w:cstheme="minorHAnsi"/>
        </w:rPr>
        <w:t>建成庞各庄镇、魏善庄镇、青云店镇、安定镇等</w:t>
      </w:r>
      <w:r>
        <w:rPr>
          <w:rFonts w:hint="eastAsia" w:asciiTheme="minorHAnsi" w:hAnsiTheme="minorHAnsi" w:cstheme="minorHAnsi"/>
        </w:rPr>
        <w:t>9</w:t>
      </w:r>
      <w:r>
        <w:rPr>
          <w:rFonts w:asciiTheme="minorHAnsi" w:hAnsiTheme="minorHAnsi" w:cstheme="minorHAnsi"/>
        </w:rPr>
        <w:t>个镇级处理站点。全区加大秸秆类废弃物综合利用农机设备购置，积极推进农田废弃物处理机具纳入农机补贴目录，推广固定式机械和移动式机械相结合的处理模式，</w:t>
      </w:r>
      <w:bookmarkStart w:id="14" w:name="_Hlk106614719"/>
      <w:r>
        <w:rPr>
          <w:rFonts w:asciiTheme="minorHAnsi" w:hAnsiTheme="minorHAnsi" w:cstheme="minorHAnsi"/>
        </w:rPr>
        <w:t>目前已购置系列秸秆类废弃物综合利用机械，</w:t>
      </w:r>
      <w:bookmarkEnd w:id="14"/>
      <w:r>
        <w:rPr>
          <w:rFonts w:asciiTheme="minorHAnsi" w:hAnsiTheme="minorHAnsi" w:cstheme="minorHAnsi"/>
        </w:rPr>
        <w:t>包括一体化农田废弃物处理机、固定式粉碎机、小型移动式粉碎机等，已初具规模效应，为及时快速处理全区秸秆类废弃物提供了物质保障。</w:t>
      </w:r>
    </w:p>
    <w:p>
      <w:pPr>
        <w:widowControl/>
        <w:ind w:firstLine="562" w:firstLineChars="200"/>
        <w:rPr>
          <w:rFonts w:asciiTheme="minorHAnsi" w:hAnsiTheme="minorHAnsi" w:cstheme="minorHAnsi"/>
        </w:rPr>
      </w:pPr>
      <w:r>
        <w:rPr>
          <w:rFonts w:asciiTheme="minorHAnsi" w:hAnsiTheme="minorHAnsi" w:cstheme="minorHAnsi"/>
          <w:b/>
          <w:bCs/>
        </w:rPr>
        <w:t>探索形成典型技术模式。</w:t>
      </w:r>
      <w:r>
        <w:rPr>
          <w:rFonts w:asciiTheme="minorHAnsi" w:hAnsiTheme="minorHAnsi" w:cstheme="minorHAnsi"/>
        </w:rPr>
        <w:t>大兴区高度重视典型技术模式凝练与总结，目前已探索总结收储运处理一体的综合利用技术模式3套，实现农作物秸秆全量化利用，基本打通瓜秧尾菜、果树枝条等废弃物收运处理路径。</w:t>
      </w:r>
      <w:r>
        <w:rPr>
          <w:rFonts w:asciiTheme="minorHAnsi" w:hAnsiTheme="minorHAnsi" w:cstheme="minorHAnsi"/>
          <w:b/>
          <w:bCs/>
        </w:rPr>
        <w:t>一是秸秆全量还田技术模式</w:t>
      </w:r>
      <w:r>
        <w:rPr>
          <w:rFonts w:asciiTheme="minorHAnsi" w:hAnsiTheme="minorHAnsi" w:cstheme="minorHAnsi"/>
        </w:rPr>
        <w:t>，小麦、玉米等农作物秸秆形成以肥料化利用为主、饲料化（青贮）利用为辅的处理模式，各镇利用农机服务组织，使用自带粉碎装置的收获机进行收获还田</w:t>
      </w:r>
      <w:r>
        <w:rPr>
          <w:rFonts w:hint="eastAsia" w:asciiTheme="minorHAnsi" w:hAnsiTheme="minorHAnsi" w:cstheme="minorHAnsi"/>
        </w:rPr>
        <w:t>、</w:t>
      </w:r>
      <w:r>
        <w:rPr>
          <w:rFonts w:asciiTheme="minorHAnsi" w:hAnsiTheme="minorHAnsi" w:cstheme="minorHAnsi"/>
        </w:rPr>
        <w:t>免耕播种，确保农田及周边干净整洁。</w:t>
      </w:r>
      <w:r>
        <w:rPr>
          <w:rFonts w:asciiTheme="minorHAnsi" w:hAnsiTheme="minorHAnsi" w:cstheme="minorHAnsi"/>
          <w:b/>
          <w:bCs/>
        </w:rPr>
        <w:t>二是瓜秧尾菜离田肥料化利用技术模式</w:t>
      </w:r>
      <w:r>
        <w:rPr>
          <w:rFonts w:asciiTheme="minorHAnsi" w:hAnsiTheme="minorHAnsi" w:cstheme="minorHAnsi"/>
        </w:rPr>
        <w:t>，通过对瓜秧尾菜等废弃物离田收储、粉碎过筛、添加菌剂、与畜禽粪污混配等工序，建立条垛式发酵堆，经好氧发酵、二次陈化后，形成生物腐殖基质，并结合农时还田，实现循环利用。</w:t>
      </w:r>
      <w:r>
        <w:rPr>
          <w:rFonts w:asciiTheme="minorHAnsi" w:hAnsiTheme="minorHAnsi" w:cstheme="minorHAnsi"/>
          <w:b/>
          <w:bCs/>
        </w:rPr>
        <w:t>三是果树枝条分类分级资源化利用技术模式</w:t>
      </w:r>
      <w:r>
        <w:rPr>
          <w:rFonts w:asciiTheme="minorHAnsi" w:hAnsiTheme="minorHAnsi" w:cstheme="minorHAnsi"/>
        </w:rPr>
        <w:t>，根据果树枝条直径不同，使用不同规格型号的枝条粉碎机进行粉碎，进一步用于直接还田、制作食用菌基质，或经染色后作为园区景观辅料等，实现资源化综合利用。</w:t>
      </w:r>
    </w:p>
    <w:p>
      <w:pPr>
        <w:pStyle w:val="3"/>
        <w:rPr>
          <w:rFonts w:cstheme="minorHAnsi"/>
        </w:rPr>
      </w:pPr>
      <w:bookmarkStart w:id="15" w:name="_Toc104673476"/>
      <w:bookmarkEnd w:id="15"/>
      <w:bookmarkStart w:id="16" w:name="_Toc119659785"/>
      <w:bookmarkStart w:id="17" w:name="_Toc27496319"/>
      <w:r>
        <w:rPr>
          <w:rFonts w:cstheme="minorHAnsi"/>
        </w:rPr>
        <w:t>（五）实施必要性和发展需求</w:t>
      </w:r>
      <w:bookmarkEnd w:id="16"/>
    </w:p>
    <w:p>
      <w:pPr>
        <w:pStyle w:val="4"/>
        <w:rPr>
          <w:rFonts w:cstheme="minorHAnsi"/>
        </w:rPr>
      </w:pPr>
      <w:r>
        <w:rPr>
          <w:rFonts w:cstheme="minorHAnsi"/>
        </w:rPr>
        <w:t>1. 实施的必要性</w:t>
      </w:r>
    </w:p>
    <w:p>
      <w:pPr>
        <w:pStyle w:val="12"/>
        <w:widowControl/>
        <w:shd w:val="clear" w:color="auto" w:fill="FFFFFF"/>
        <w:spacing w:beforeAutospacing="0" w:afterAutospacing="0"/>
        <w:ind w:firstLine="640"/>
        <w:jc w:val="both"/>
        <w:rPr>
          <w:rFonts w:asciiTheme="minorHAnsi" w:hAnsiTheme="minorHAnsi" w:cstheme="minorHAnsi"/>
          <w:b/>
          <w:bCs/>
          <w:kern w:val="2"/>
          <w:sz w:val="28"/>
        </w:rPr>
      </w:pPr>
      <w:r>
        <w:rPr>
          <w:rFonts w:hint="eastAsia" w:asciiTheme="minorHAnsi" w:hAnsiTheme="minorHAnsi" w:cstheme="minorHAnsi"/>
          <w:b/>
          <w:bCs/>
          <w:kern w:val="2"/>
          <w:sz w:val="28"/>
        </w:rPr>
        <w:t>（</w:t>
      </w:r>
      <w:r>
        <w:rPr>
          <w:rFonts w:asciiTheme="minorHAnsi" w:hAnsiTheme="minorHAnsi" w:cstheme="minorHAnsi"/>
          <w:b/>
          <w:bCs/>
          <w:kern w:val="2"/>
          <w:sz w:val="28"/>
        </w:rPr>
        <w:t>1</w:t>
      </w:r>
      <w:r>
        <w:rPr>
          <w:rFonts w:hint="eastAsia" w:asciiTheme="minorHAnsi" w:hAnsiTheme="minorHAnsi" w:cstheme="minorHAnsi"/>
          <w:b/>
          <w:bCs/>
          <w:kern w:val="2"/>
          <w:sz w:val="28"/>
        </w:rPr>
        <w:t>）是筑牢</w:t>
      </w:r>
      <w:r>
        <w:rPr>
          <w:rFonts w:asciiTheme="minorHAnsi" w:hAnsiTheme="minorHAnsi" w:cstheme="minorHAnsi"/>
          <w:b/>
          <w:bCs/>
          <w:kern w:val="2"/>
          <w:sz w:val="28"/>
        </w:rPr>
        <w:t>“</w:t>
      </w:r>
      <w:r>
        <w:rPr>
          <w:rFonts w:hint="eastAsia" w:asciiTheme="minorHAnsi" w:hAnsiTheme="minorHAnsi" w:cstheme="minorHAnsi"/>
          <w:b/>
          <w:bCs/>
          <w:kern w:val="2"/>
          <w:sz w:val="28"/>
        </w:rPr>
        <w:t>“新国门·新大兴”</w:t>
      </w:r>
      <w:r>
        <w:rPr>
          <w:rFonts w:asciiTheme="minorHAnsi" w:hAnsiTheme="minorHAnsi" w:cstheme="minorHAnsi"/>
          <w:b/>
          <w:bCs/>
          <w:kern w:val="2"/>
          <w:sz w:val="28"/>
        </w:rPr>
        <w:t>”</w:t>
      </w:r>
      <w:r>
        <w:rPr>
          <w:rFonts w:hint="eastAsia" w:asciiTheme="minorHAnsi" w:hAnsiTheme="minorHAnsi" w:cstheme="minorHAnsi"/>
          <w:b/>
          <w:bCs/>
          <w:kern w:val="2"/>
          <w:sz w:val="28"/>
        </w:rPr>
        <w:t>形象的必然要求</w:t>
      </w:r>
    </w:p>
    <w:p>
      <w:pPr>
        <w:pStyle w:val="12"/>
        <w:widowControl/>
        <w:shd w:val="clear" w:color="auto" w:fill="FFFFFF"/>
        <w:spacing w:beforeAutospacing="0" w:afterAutospacing="0"/>
        <w:ind w:firstLine="640"/>
        <w:jc w:val="both"/>
        <w:rPr>
          <w:rFonts w:asciiTheme="minorHAnsi" w:hAnsiTheme="minorHAnsi" w:cstheme="minorHAnsi"/>
          <w:kern w:val="2"/>
          <w:sz w:val="28"/>
        </w:rPr>
      </w:pPr>
      <w:r>
        <w:rPr>
          <w:rFonts w:asciiTheme="minorHAnsi" w:hAnsiTheme="minorHAnsi" w:cstheme="minorHAnsi"/>
          <w:kern w:val="2"/>
          <w:sz w:val="28"/>
        </w:rPr>
        <w:t>作为“新国门”、北京首都新发展空间、北京改革开放新高地和京津冀协同发展的桥头堡，大兴区区委、区政府积极践行绿色发展理念，高度重视农田环境治理和农业农村绿色低碳发展，</w:t>
      </w:r>
      <w:r>
        <w:rPr>
          <w:rFonts w:hint="eastAsia" w:asciiTheme="minorHAnsi" w:hAnsiTheme="minorHAnsi" w:cstheme="minorHAnsi"/>
          <w:kern w:val="2"/>
          <w:sz w:val="28"/>
        </w:rPr>
        <w:t>加快在农村地区形成“大绿大美、宜居宜业、质量高效”的生态、生活、生产空间。</w:t>
      </w:r>
      <w:r>
        <w:rPr>
          <w:rFonts w:asciiTheme="minorHAnsi" w:hAnsiTheme="minorHAnsi" w:cstheme="minorHAnsi"/>
          <w:kern w:val="2"/>
          <w:sz w:val="28"/>
        </w:rPr>
        <w:t>推进秸秆类废弃物综合利用，可以减轻农田、菜田废弃物随意堆放造成的环境治理压力，有效减少对生态系统和人居环境造成污染，有利于增强农田生态系统服务功能，持续改善农村人居环境，助力大兴区树立生态良好、环境优美的“新国门”形象。</w:t>
      </w:r>
    </w:p>
    <w:p>
      <w:pPr>
        <w:pStyle w:val="12"/>
        <w:widowControl/>
        <w:shd w:val="clear" w:color="auto" w:fill="FFFFFF"/>
        <w:spacing w:beforeAutospacing="0" w:afterAutospacing="0"/>
        <w:ind w:firstLine="640"/>
        <w:jc w:val="both"/>
        <w:rPr>
          <w:rFonts w:asciiTheme="minorHAnsi" w:hAnsiTheme="minorHAnsi" w:cstheme="minorHAnsi"/>
          <w:b/>
          <w:bCs/>
          <w:kern w:val="2"/>
          <w:sz w:val="28"/>
        </w:rPr>
      </w:pPr>
      <w:r>
        <w:rPr>
          <w:rFonts w:asciiTheme="minorHAnsi" w:hAnsiTheme="minorHAnsi" w:cstheme="minorHAnsi"/>
          <w:b/>
          <w:bCs/>
          <w:kern w:val="2"/>
          <w:sz w:val="28"/>
        </w:rPr>
        <w:t>（2）是加快国家农业绿色发展先行区建设的必由之路</w:t>
      </w:r>
    </w:p>
    <w:p>
      <w:pPr>
        <w:pStyle w:val="12"/>
        <w:widowControl/>
        <w:shd w:val="clear" w:color="auto" w:fill="FFFFFF"/>
        <w:spacing w:beforeAutospacing="0" w:afterAutospacing="0"/>
        <w:ind w:firstLine="640"/>
        <w:jc w:val="both"/>
        <w:rPr>
          <w:rFonts w:asciiTheme="minorHAnsi" w:hAnsiTheme="minorHAnsi" w:cstheme="minorHAnsi"/>
          <w:kern w:val="2"/>
          <w:sz w:val="28"/>
        </w:rPr>
      </w:pPr>
      <w:r>
        <w:rPr>
          <w:rFonts w:asciiTheme="minorHAnsi" w:hAnsiTheme="minorHAnsi" w:cstheme="minorHAnsi"/>
          <w:kern w:val="2"/>
          <w:sz w:val="28"/>
        </w:rPr>
        <w:t>大兴区牢固树立绿水青山就是金山银山理念，以绿色发展为导向，不断拓展绿色空间发展格局，推进国家农业绿色发展先行区建设，推动实现资源利用集约化、投入品减量化、废弃物资源化、产业模式生态化。秸秆等农业废弃物资源化利用是先行区建设的重要内容，目前大兴区农作物秸秆已基本实现全量化利用，但蔬菜尾菜、果树枝条等农业废弃物利用水平还不高，且随着土地复垦、农业现代化示范区建设，全区农业种植结构将发生调整，种植面积将明显增加，农作物秸秆、尾菜等废弃物也将逐年增加，预计到“十四五”</w:t>
      </w:r>
      <w:r>
        <w:rPr>
          <w:rFonts w:asciiTheme="minorHAnsi" w:hAnsiTheme="minorHAnsi" w:cstheme="minorHAnsi"/>
          <w:kern w:val="2"/>
          <w:sz w:val="28"/>
          <w:highlight w:val="none"/>
        </w:rPr>
        <w:t>末将达到36万吨</w:t>
      </w:r>
      <w:r>
        <w:rPr>
          <w:rFonts w:asciiTheme="minorHAnsi" w:hAnsiTheme="minorHAnsi" w:cstheme="minorHAnsi"/>
          <w:kern w:val="2"/>
          <w:sz w:val="28"/>
        </w:rPr>
        <w:t>。因此，亟需实施秸秆类废弃物综合利用三年行动方案，进一步提升秸秆类废弃物综合利用能力，为保障重要农产品供给安全、促进农业高质量发展提供重要支撑。</w:t>
      </w:r>
    </w:p>
    <w:p>
      <w:pPr>
        <w:pStyle w:val="12"/>
        <w:widowControl/>
        <w:shd w:val="clear" w:color="auto" w:fill="FFFFFF"/>
        <w:spacing w:beforeAutospacing="0" w:afterAutospacing="0"/>
        <w:ind w:firstLine="640"/>
        <w:jc w:val="both"/>
        <w:rPr>
          <w:rFonts w:asciiTheme="minorHAnsi" w:hAnsiTheme="minorHAnsi" w:cstheme="minorHAnsi"/>
          <w:b/>
          <w:bCs/>
          <w:kern w:val="2"/>
          <w:sz w:val="28"/>
        </w:rPr>
      </w:pPr>
      <w:r>
        <w:rPr>
          <w:rFonts w:asciiTheme="minorHAnsi" w:hAnsiTheme="minorHAnsi" w:cstheme="minorHAnsi"/>
          <w:b/>
          <w:bCs/>
          <w:kern w:val="2"/>
          <w:sz w:val="28"/>
        </w:rPr>
        <w:t>（3）是发展低碳农业，助力碳达峰碳中和的必然选择</w:t>
      </w:r>
    </w:p>
    <w:p>
      <w:pPr>
        <w:pStyle w:val="12"/>
        <w:widowControl/>
        <w:shd w:val="clear" w:color="auto" w:fill="FFFFFF"/>
        <w:spacing w:beforeAutospacing="0" w:afterAutospacing="0"/>
        <w:ind w:firstLine="640"/>
        <w:jc w:val="both"/>
        <w:rPr>
          <w:rFonts w:asciiTheme="minorHAnsi" w:hAnsiTheme="minorHAnsi" w:cstheme="minorHAnsi"/>
          <w:kern w:val="2"/>
          <w:sz w:val="28"/>
        </w:rPr>
      </w:pPr>
      <w:r>
        <w:rPr>
          <w:rFonts w:asciiTheme="minorHAnsi" w:hAnsiTheme="minorHAnsi" w:cstheme="minorHAnsi"/>
          <w:kern w:val="2"/>
          <w:sz w:val="28"/>
        </w:rPr>
        <w:t>农业农村领域减排固碳是碳达峰、碳中和的重要举措，也是潜力所在，农业农村部、国家发改委联合印发的《农业农村减排固碳实施方案》，</w:t>
      </w:r>
      <w:r>
        <w:rPr>
          <w:rFonts w:hint="eastAsia" w:asciiTheme="minorHAnsi" w:hAnsiTheme="minorHAnsi" w:cstheme="minorHAnsi"/>
          <w:kern w:val="2"/>
          <w:sz w:val="28"/>
          <w:lang w:eastAsia="zh-CN"/>
        </w:rPr>
        <w:t>也</w:t>
      </w:r>
      <w:r>
        <w:rPr>
          <w:rFonts w:asciiTheme="minorHAnsi" w:hAnsiTheme="minorHAnsi" w:cstheme="minorHAnsi"/>
          <w:kern w:val="2"/>
          <w:sz w:val="28"/>
        </w:rPr>
        <w:t>将秸秆综合利用行动作为十大行动之一。通过实施秸秆类废弃物三年行动方案，探索建立大兴区农业废弃物绿色低碳循环利用模式，农业废弃物经肥料化、燃料化、基料化等转化利用途径实现清洁高值利用，可以有效提高农田土壤有机质含量，增加土壤碳库容量，同时还能降低化肥等农业投入品使用量，有效替代化石能源、减少森林砍伐量，推动农田生态系统从“源”向“汇”转变，在处理废弃物的同时实现减排固碳，是推进大兴区农业绿色低碳转型的必然选择，可为助力北京市率先实现碳达峰碳中和目标作出积极贡献。</w:t>
      </w:r>
    </w:p>
    <w:p>
      <w:pPr>
        <w:pStyle w:val="4"/>
        <w:rPr>
          <w:rFonts w:cstheme="minorHAnsi"/>
        </w:rPr>
      </w:pPr>
      <w:r>
        <w:rPr>
          <w:rFonts w:cstheme="minorHAnsi"/>
        </w:rPr>
        <w:t>2. 发展需求分析</w:t>
      </w:r>
    </w:p>
    <w:p>
      <w:pPr>
        <w:widowControl/>
        <w:ind w:firstLine="560" w:firstLineChars="200"/>
        <w:rPr>
          <w:rFonts w:asciiTheme="minorHAnsi" w:hAnsiTheme="minorHAnsi" w:cstheme="minorHAnsi"/>
        </w:rPr>
      </w:pPr>
      <w:r>
        <w:rPr>
          <w:rFonts w:asciiTheme="minorHAnsi" w:hAnsiTheme="minorHAnsi" w:cstheme="minorHAnsi"/>
        </w:rPr>
        <w:t>目前大兴区农作物秸秆已基本实现全量利用，但瓜秧尾菜、果树枝条综合利用率相对较低，秸秆类废弃物收储运与处理利用体系还不健全，市场化运作机制尚未建立，制约了全区秸秆利用水平及效益的提升。</w:t>
      </w:r>
    </w:p>
    <w:p>
      <w:pPr>
        <w:ind w:firstLine="562" w:firstLineChars="200"/>
        <w:rPr>
          <w:rFonts w:asciiTheme="minorHAnsi" w:hAnsiTheme="minorHAnsi" w:cstheme="minorHAnsi"/>
        </w:rPr>
      </w:pPr>
      <w:r>
        <w:rPr>
          <w:rFonts w:asciiTheme="minorHAnsi" w:hAnsiTheme="minorHAnsi" w:cstheme="minorHAnsi"/>
          <w:b/>
          <w:bCs/>
        </w:rPr>
        <w:t>（1）秸秆综合处理能力有待进一步提升</w:t>
      </w:r>
    </w:p>
    <w:p>
      <w:pPr>
        <w:ind w:firstLine="560" w:firstLineChars="200"/>
        <w:rPr>
          <w:rFonts w:asciiTheme="minorHAnsi" w:hAnsiTheme="minorHAnsi" w:cstheme="minorHAnsi"/>
        </w:rPr>
      </w:pPr>
      <w:r>
        <w:rPr>
          <w:rFonts w:asciiTheme="minorHAnsi" w:hAnsiTheme="minorHAnsi" w:cstheme="minorHAnsi"/>
        </w:rPr>
        <w:t>全区现已建成农业废弃物综合利处理站点</w:t>
      </w:r>
      <w:r>
        <w:rPr>
          <w:rFonts w:hint="eastAsia" w:asciiTheme="minorHAnsi" w:hAnsiTheme="minorHAnsi" w:cstheme="minorHAnsi"/>
        </w:rPr>
        <w:t>9</w:t>
      </w:r>
      <w:r>
        <w:rPr>
          <w:rFonts w:asciiTheme="minorHAnsi" w:hAnsiTheme="minorHAnsi" w:cstheme="minorHAnsi"/>
        </w:rPr>
        <w:t>个，年处理能力达到23.50万吨，基本能够实现秸秆类废弃物的处理利用。但随全区土地复垦工作有序推进，农作物秸秆将随之增加，“</w:t>
      </w:r>
      <w:r>
        <w:rPr>
          <w:rFonts w:hint="eastAsia" w:asciiTheme="minorHAnsi" w:hAnsiTheme="minorHAnsi" w:cstheme="minorHAnsi"/>
        </w:rPr>
        <w:t>十四五</w:t>
      </w:r>
      <w:r>
        <w:rPr>
          <w:rFonts w:asciiTheme="minorHAnsi" w:hAnsiTheme="minorHAnsi" w:cstheme="minorHAnsi"/>
        </w:rPr>
        <w:t>”</w:t>
      </w:r>
      <w:r>
        <w:rPr>
          <w:rFonts w:hint="eastAsia" w:asciiTheme="minorHAnsi" w:hAnsiTheme="minorHAnsi" w:cstheme="minorHAnsi"/>
        </w:rPr>
        <w:t>末全区秸秆类废弃物总量将达</w:t>
      </w:r>
      <w:r>
        <w:rPr>
          <w:rFonts w:hint="eastAsia" w:asciiTheme="minorHAnsi" w:hAnsiTheme="minorHAnsi" w:cstheme="minorHAnsi"/>
          <w:highlight w:val="none"/>
        </w:rPr>
        <w:t>到</w:t>
      </w:r>
      <w:r>
        <w:rPr>
          <w:rFonts w:asciiTheme="minorHAnsi" w:hAnsiTheme="minorHAnsi" w:cstheme="minorHAnsi"/>
          <w:highlight w:val="none"/>
        </w:rPr>
        <w:t>36</w:t>
      </w:r>
      <w:r>
        <w:rPr>
          <w:rFonts w:hint="eastAsia" w:asciiTheme="minorHAnsi" w:hAnsiTheme="minorHAnsi" w:cstheme="minorHAnsi"/>
          <w:highlight w:val="none"/>
        </w:rPr>
        <w:t>万吨左</w:t>
      </w:r>
      <w:r>
        <w:rPr>
          <w:rFonts w:hint="eastAsia" w:asciiTheme="minorHAnsi" w:hAnsiTheme="minorHAnsi" w:cstheme="minorHAnsi"/>
        </w:rPr>
        <w:t>右</w:t>
      </w:r>
      <w:r>
        <w:rPr>
          <w:rFonts w:asciiTheme="minorHAnsi" w:hAnsiTheme="minorHAnsi" w:cstheme="minorHAnsi"/>
        </w:rPr>
        <w:t>，</w:t>
      </w:r>
      <w:r>
        <w:rPr>
          <w:rFonts w:hint="eastAsia" w:asciiTheme="minorHAnsi" w:hAnsiTheme="minorHAnsi" w:cstheme="minorHAnsi"/>
        </w:rPr>
        <w:t>将有约</w:t>
      </w:r>
      <w:r>
        <w:rPr>
          <w:rFonts w:asciiTheme="minorHAnsi" w:hAnsiTheme="minorHAnsi" w:cstheme="minorHAnsi"/>
        </w:rPr>
        <w:t>12.5</w:t>
      </w:r>
      <w:r>
        <w:rPr>
          <w:rFonts w:hint="eastAsia" w:asciiTheme="minorHAnsi" w:hAnsiTheme="minorHAnsi" w:cstheme="minorHAnsi"/>
        </w:rPr>
        <w:t>万吨</w:t>
      </w:r>
      <w:r>
        <w:rPr>
          <w:rFonts w:asciiTheme="minorHAnsi" w:hAnsiTheme="minorHAnsi" w:cstheme="minorHAnsi"/>
        </w:rPr>
        <w:t>废弃物无法得到有效处理利用，亟需对全区各站点综合处理能力进行提升。此外，部分农业种植园区具备实现秸秆类废弃物分散就地就近处理的条件，但缺少技术支持及配套处理设备，亟待加强分散式站点的提升改造。</w:t>
      </w:r>
    </w:p>
    <w:p>
      <w:pPr>
        <w:ind w:firstLine="562" w:firstLineChars="200"/>
        <w:rPr>
          <w:rFonts w:asciiTheme="minorHAnsi" w:hAnsiTheme="minorHAnsi" w:cstheme="minorHAnsi"/>
        </w:rPr>
      </w:pPr>
      <w:r>
        <w:rPr>
          <w:rFonts w:asciiTheme="minorHAnsi" w:hAnsiTheme="minorHAnsi" w:cstheme="minorHAnsi"/>
          <w:b/>
          <w:bCs/>
        </w:rPr>
        <w:t>（2）“收-储-运-处”体系亟待进一步健全</w:t>
      </w:r>
    </w:p>
    <w:p>
      <w:pPr>
        <w:ind w:firstLine="560" w:firstLineChars="200"/>
        <w:rPr>
          <w:rFonts w:asciiTheme="minorHAnsi" w:hAnsiTheme="minorHAnsi" w:cstheme="minorHAnsi"/>
        </w:rPr>
      </w:pPr>
      <w:r>
        <w:rPr>
          <w:rFonts w:asciiTheme="minorHAnsi" w:hAnsiTheme="minorHAnsi" w:cstheme="minorHAnsi"/>
        </w:rPr>
        <w:t>全区秸秆类废弃物资源量分布较为分散，产出时间集中、资源量较大，收运距离大、难度高，造成部分秸秆类废弃物不能及时收储利用，而是进入生活垃圾收集系统进行处理。</w:t>
      </w:r>
      <w:r>
        <w:rPr>
          <w:rFonts w:hint="eastAsia" w:asciiTheme="minorHAnsi" w:hAnsiTheme="minorHAnsi" w:cstheme="minorHAnsi"/>
        </w:rPr>
        <w:t>据测算，2</w:t>
      </w:r>
      <w:r>
        <w:rPr>
          <w:rFonts w:asciiTheme="minorHAnsi" w:hAnsiTheme="minorHAnsi" w:cstheme="minorHAnsi"/>
        </w:rPr>
        <w:t>022</w:t>
      </w:r>
      <w:r>
        <w:rPr>
          <w:rFonts w:hint="eastAsia" w:asciiTheme="minorHAnsi" w:hAnsiTheme="minorHAnsi" w:cstheme="minorHAnsi"/>
        </w:rPr>
        <w:t>年全区约有</w:t>
      </w:r>
      <w:r>
        <w:rPr>
          <w:rFonts w:asciiTheme="minorHAnsi" w:hAnsiTheme="minorHAnsi" w:cstheme="minorHAnsi"/>
        </w:rPr>
        <w:t>13</w:t>
      </w:r>
      <w:r>
        <w:rPr>
          <w:rFonts w:hint="eastAsia" w:asciiTheme="minorHAnsi" w:hAnsiTheme="minorHAnsi" w:cstheme="minorHAnsi"/>
        </w:rPr>
        <w:t>万吨瓜秧尾菜废弃物（鲜重）未被有效利用，</w:t>
      </w:r>
      <w:r>
        <w:rPr>
          <w:rFonts w:asciiTheme="minorHAnsi" w:hAnsiTheme="minorHAnsi" w:cstheme="minorHAnsi"/>
        </w:rPr>
        <w:t>造成较大的资源浪费。与此同时，全区瓜秧尾菜、果树枝条等还存在资源底数不清、分布情况不明等问题，因此，亟需建立尾菜等资源台账，配套建设收储运站点，建立健全秸秆资源“收-储-运-处”体系，提升废弃物收集效率和利用率。</w:t>
      </w:r>
    </w:p>
    <w:p>
      <w:pPr>
        <w:ind w:firstLine="562" w:firstLineChars="200"/>
        <w:rPr>
          <w:rFonts w:asciiTheme="minorHAnsi" w:hAnsiTheme="minorHAnsi" w:cstheme="minorHAnsi"/>
        </w:rPr>
      </w:pPr>
      <w:r>
        <w:rPr>
          <w:rFonts w:asciiTheme="minorHAnsi" w:hAnsiTheme="minorHAnsi" w:cstheme="minorHAnsi"/>
          <w:b/>
          <w:bCs/>
        </w:rPr>
        <w:t>（3）可持续市场化运作机制仍需进一步完善</w:t>
      </w:r>
    </w:p>
    <w:p>
      <w:pPr>
        <w:ind w:firstLine="560" w:firstLineChars="200"/>
        <w:rPr>
          <w:rFonts w:asciiTheme="minorHAnsi" w:hAnsiTheme="minorHAnsi" w:cstheme="minorHAnsi"/>
        </w:rPr>
      </w:pPr>
      <w:r>
        <w:rPr>
          <w:rFonts w:asciiTheme="minorHAnsi" w:hAnsiTheme="minorHAnsi" w:cstheme="minorHAnsi"/>
        </w:rPr>
        <w:t>大兴区已初步建立秸秆综合利用站集中处理体系及农机具购置补偿制度，但后期运营管理、产品推广应用等方面的运行机制还有待完善，部分镇农业废弃物处理站点的用地用电需求难以保障，收储运及处理对财政资金的依赖程度较高，场地受限、环保压力较大、处理技术单一、处理能力不足等问题较为突出，亟需培育壮大一批秸秆高值利用的经营主体，探索建立秸秆废弃物综合处理利用的长</w:t>
      </w:r>
      <w:r>
        <w:rPr>
          <w:rFonts w:hint="eastAsia" w:asciiTheme="minorHAnsi" w:hAnsiTheme="minorHAnsi" w:cstheme="minorHAnsi"/>
        </w:rPr>
        <w:t>效</w:t>
      </w:r>
      <w:r>
        <w:rPr>
          <w:rFonts w:asciiTheme="minorHAnsi" w:hAnsiTheme="minorHAnsi" w:cstheme="minorHAnsi"/>
        </w:rPr>
        <w:t>可持续运行的市场化机制。</w:t>
      </w:r>
    </w:p>
    <w:p>
      <w:pPr>
        <w:widowControl/>
        <w:spacing w:line="240" w:lineRule="auto"/>
        <w:jc w:val="left"/>
        <w:rPr>
          <w:rFonts w:asciiTheme="minorHAnsi" w:hAnsiTheme="minorHAnsi" w:cstheme="minorHAnsi"/>
        </w:rPr>
      </w:pPr>
      <w:r>
        <w:rPr>
          <w:rFonts w:asciiTheme="minorHAnsi" w:hAnsiTheme="minorHAnsi" w:cstheme="minorHAnsi"/>
        </w:rPr>
        <w:br w:type="page"/>
      </w:r>
    </w:p>
    <w:p>
      <w:pPr>
        <w:pStyle w:val="2"/>
        <w:widowControl/>
        <w:spacing w:before="156" w:after="156"/>
        <w:ind w:firstLine="640"/>
      </w:pPr>
      <w:bookmarkStart w:id="18" w:name="_Toc119659786"/>
      <w:r>
        <w:t>二、发展思路与目标</w:t>
      </w:r>
      <w:bookmarkEnd w:id="18"/>
    </w:p>
    <w:p>
      <w:pPr>
        <w:pStyle w:val="3"/>
        <w:rPr>
          <w:rFonts w:cstheme="minorHAnsi"/>
        </w:rPr>
      </w:pPr>
      <w:bookmarkStart w:id="19" w:name="_Toc119659787"/>
      <w:r>
        <w:rPr>
          <w:rFonts w:cstheme="minorHAnsi"/>
        </w:rPr>
        <w:t>（一）发展思路</w:t>
      </w:r>
      <w:bookmarkEnd w:id="19"/>
    </w:p>
    <w:p>
      <w:pPr>
        <w:widowControl/>
        <w:ind w:firstLine="560" w:firstLineChars="200"/>
        <w:rPr>
          <w:rFonts w:asciiTheme="minorHAnsi" w:hAnsiTheme="minorHAnsi" w:cstheme="minorHAnsi"/>
        </w:rPr>
      </w:pPr>
      <w:r>
        <w:rPr>
          <w:rFonts w:asciiTheme="minorHAnsi" w:hAnsiTheme="minorHAnsi" w:cstheme="minorHAnsi"/>
        </w:rPr>
        <w:t>以习近平生态文明思想为指导，深入贯彻落实党的二十大精神，全面落实党中央、国务院和北京市委市政府有关决策部署，牢固树立绿色发展理念，坚持大兴区首都新国门的功能定位，顺应人民群众对优美生态环境的新期待，坚持质量兴农、绿色兴农，优化生态循环农业总体布局，健全创新驱动与约束激励的长效机制，因地制宜加快推进农作物秸秆、瓜秧尾菜、果树枝条等农业废弃物的综合利用，不断完善收储、运输和加工体系，促进秸秆类废弃物资源化、商品化、产业化利用，提升全区秸秆类废弃物综合利用水平和质量效益，促进农业高质高效、乡村生态宜居、农民富裕富足，助力实现农业农村现代化。</w:t>
      </w:r>
    </w:p>
    <w:p>
      <w:pPr>
        <w:pStyle w:val="3"/>
        <w:rPr>
          <w:rFonts w:cstheme="minorHAnsi"/>
        </w:rPr>
      </w:pPr>
      <w:bookmarkStart w:id="20" w:name="_Toc119659788"/>
      <w:r>
        <w:rPr>
          <w:rFonts w:cstheme="minorHAnsi"/>
        </w:rPr>
        <w:t>（二）基本原则</w:t>
      </w:r>
      <w:bookmarkEnd w:id="20"/>
    </w:p>
    <w:p>
      <w:pPr>
        <w:widowControl/>
        <w:ind w:firstLine="602"/>
        <w:rPr>
          <w:rFonts w:asciiTheme="minorHAnsi" w:hAnsiTheme="minorHAnsi" w:cstheme="minorHAnsi"/>
          <w:bCs/>
          <w:kern w:val="0"/>
          <w:szCs w:val="28"/>
        </w:rPr>
      </w:pPr>
      <w:r>
        <w:rPr>
          <w:rFonts w:asciiTheme="minorHAnsi" w:hAnsiTheme="minorHAnsi" w:cstheme="minorHAnsi"/>
          <w:b/>
          <w:kern w:val="0"/>
          <w:szCs w:val="28"/>
        </w:rPr>
        <w:t>坚持农用为主，多措并举。</w:t>
      </w:r>
      <w:r>
        <w:rPr>
          <w:rFonts w:asciiTheme="minorHAnsi" w:hAnsiTheme="minorHAnsi" w:cstheme="minorHAnsi"/>
          <w:bCs/>
          <w:kern w:val="0"/>
          <w:szCs w:val="28"/>
        </w:rPr>
        <w:t>坚持秸秆类废弃物综合利用与农业生产相结合，以肥料化、基料化利用为重点，满足还田和资源化利用需求，发挥好耕地保育和种养循环的功能。合理引导农作物秸秆全量还田、瓜秧尾菜肥料化利用、果树枝条基料化原料化利用，推动秸秆利用向绿色多元、循环降碳的方向发展。</w:t>
      </w:r>
    </w:p>
    <w:p>
      <w:pPr>
        <w:widowControl/>
        <w:ind w:firstLine="602"/>
        <w:rPr>
          <w:rFonts w:asciiTheme="minorHAnsi" w:hAnsiTheme="minorHAnsi" w:cstheme="minorHAnsi"/>
          <w:bCs/>
          <w:kern w:val="0"/>
          <w:szCs w:val="28"/>
        </w:rPr>
      </w:pPr>
      <w:bookmarkStart w:id="21" w:name="_Hlk43814191"/>
      <w:r>
        <w:rPr>
          <w:rFonts w:asciiTheme="minorHAnsi" w:hAnsiTheme="minorHAnsi" w:cstheme="minorHAnsi"/>
          <w:b/>
          <w:kern w:val="0"/>
          <w:szCs w:val="28"/>
        </w:rPr>
        <w:t>坚持统筹谋划，</w:t>
      </w:r>
      <w:bookmarkEnd w:id="21"/>
      <w:r>
        <w:rPr>
          <w:rFonts w:asciiTheme="minorHAnsi" w:hAnsiTheme="minorHAnsi" w:cstheme="minorHAnsi"/>
          <w:b/>
          <w:kern w:val="0"/>
          <w:szCs w:val="28"/>
        </w:rPr>
        <w:t>因地制宜。</w:t>
      </w:r>
      <w:r>
        <w:rPr>
          <w:rFonts w:asciiTheme="minorHAnsi" w:hAnsiTheme="minorHAnsi" w:cstheme="minorHAnsi"/>
          <w:bCs/>
          <w:kern w:val="0"/>
          <w:szCs w:val="28"/>
        </w:rPr>
        <w:t>综合考虑各镇秸秆类废弃物资源条件、产业发展基础，坚持分散布局与集中处理相结合，就近收集原料、就地加工转换、就近清洁高效利用。整合技术、资金、人才、信息等资源要素，分镇施策、有序推进，不断提升全区秸秆类废弃物利用能力和综合效益。</w:t>
      </w:r>
    </w:p>
    <w:p>
      <w:pPr>
        <w:widowControl/>
        <w:ind w:firstLine="562" w:firstLineChars="200"/>
        <w:rPr>
          <w:rFonts w:asciiTheme="minorHAnsi" w:hAnsiTheme="minorHAnsi" w:cstheme="minorHAnsi"/>
        </w:rPr>
      </w:pPr>
      <w:r>
        <w:rPr>
          <w:rFonts w:asciiTheme="minorHAnsi" w:hAnsiTheme="minorHAnsi" w:cstheme="minorHAnsi"/>
          <w:b/>
        </w:rPr>
        <w:t>坚持政府引导、市场主导。</w:t>
      </w:r>
      <w:r>
        <w:rPr>
          <w:rFonts w:asciiTheme="minorHAnsi" w:hAnsiTheme="minorHAnsi" w:cstheme="minorHAnsi"/>
        </w:rPr>
        <w:t>加强政策支持和引导，深入研究完善秸秆类废弃物综合利用体系，积极出台秸秆类废弃物综合利用终端补贴等配套政策。发挥市场配置资源的主导作用，培育秸秆收储运、利用等产业主体，完善社会化服务体系，形成以政府有效引导、市场主导推进、农民积极参与的长效机制，增强秸秆类废弃物综合利用的内生动力。</w:t>
      </w:r>
    </w:p>
    <w:p>
      <w:pPr>
        <w:widowControl/>
        <w:ind w:firstLine="602"/>
        <w:rPr>
          <w:rFonts w:asciiTheme="minorHAnsi" w:hAnsiTheme="minorHAnsi" w:cstheme="minorHAnsi"/>
          <w:bCs/>
          <w:kern w:val="0"/>
          <w:szCs w:val="28"/>
        </w:rPr>
      </w:pPr>
      <w:r>
        <w:rPr>
          <w:rFonts w:asciiTheme="minorHAnsi" w:hAnsiTheme="minorHAnsi" w:cstheme="minorHAnsi"/>
          <w:b/>
          <w:kern w:val="0"/>
          <w:szCs w:val="28"/>
        </w:rPr>
        <w:t>坚持科技推动，站点先行。</w:t>
      </w:r>
      <w:r>
        <w:rPr>
          <w:rFonts w:asciiTheme="minorHAnsi" w:hAnsiTheme="minorHAnsi" w:cstheme="minorHAnsi"/>
          <w:bCs/>
          <w:kern w:val="0"/>
          <w:szCs w:val="28"/>
        </w:rPr>
        <w:t>加强科技攻关，依托中国农业大学、中国农业科学院、北京市农林科学院等在京高校和科研院所，着力解决秸秆类废弃物综合利用中的共性难题，提高技术工艺和装备水平。建设秸秆类废弃物综合利用重点镇、村，实施一批资源循环利用</w:t>
      </w:r>
      <w:r>
        <w:rPr>
          <w:rFonts w:hint="eastAsia" w:asciiTheme="minorHAnsi" w:hAnsiTheme="minorHAnsi" w:cstheme="minorHAnsi"/>
          <w:bCs/>
          <w:kern w:val="0"/>
          <w:szCs w:val="28"/>
          <w:lang w:eastAsia="zh-CN"/>
        </w:rPr>
        <w:t>示范站点</w:t>
      </w:r>
      <w:r>
        <w:rPr>
          <w:rFonts w:asciiTheme="minorHAnsi" w:hAnsiTheme="minorHAnsi" w:cstheme="minorHAnsi"/>
          <w:bCs/>
          <w:kern w:val="0"/>
          <w:szCs w:val="28"/>
        </w:rPr>
        <w:t>，形成可持续、可复制、可推广的整体推进的秸秆类废弃物综合利用模式。</w:t>
      </w:r>
    </w:p>
    <w:p>
      <w:pPr>
        <w:pStyle w:val="3"/>
        <w:rPr>
          <w:rFonts w:cstheme="minorHAnsi"/>
        </w:rPr>
      </w:pPr>
      <w:bookmarkStart w:id="22" w:name="_Toc119659789"/>
      <w:r>
        <w:rPr>
          <w:rFonts w:cstheme="minorHAnsi"/>
        </w:rPr>
        <w:t>（三）总体目标</w:t>
      </w:r>
      <w:bookmarkEnd w:id="22"/>
    </w:p>
    <w:p>
      <w:pPr>
        <w:widowControl/>
        <w:ind w:firstLine="602"/>
        <w:rPr>
          <w:rFonts w:asciiTheme="minorHAnsi" w:hAnsiTheme="minorHAnsi" w:cstheme="minorHAnsi"/>
          <w:kern w:val="0"/>
          <w:szCs w:val="28"/>
        </w:rPr>
      </w:pPr>
      <w:r>
        <w:rPr>
          <w:rFonts w:asciiTheme="minorHAnsi" w:hAnsiTheme="minorHAnsi" w:cstheme="minorHAnsi"/>
          <w:kern w:val="0"/>
          <w:szCs w:val="28"/>
        </w:rPr>
        <w:t>通过三年实施，大兴区农业绿色发展水平进一步提升，绿色生产方式全域全面推进，产地环境质量显著提升，农业废弃物循环利用体系基本构建，农业面源污染有效遏制，推动形成与资源环境承载力相匹配、与生产生活生态相协调的农业农村绿色发展新格局，为打造大兴“新国门”形象提供有力支撑。</w:t>
      </w:r>
    </w:p>
    <w:p>
      <w:pPr>
        <w:widowControl/>
        <w:ind w:firstLine="602"/>
        <w:rPr>
          <w:rFonts w:asciiTheme="minorHAnsi" w:hAnsiTheme="minorHAnsi" w:cstheme="minorHAnsi"/>
          <w:kern w:val="0"/>
          <w:szCs w:val="28"/>
        </w:rPr>
      </w:pPr>
      <w:r>
        <w:rPr>
          <w:rFonts w:asciiTheme="minorHAnsi" w:hAnsiTheme="minorHAnsi" w:cstheme="minorHAnsi"/>
          <w:kern w:val="0"/>
          <w:szCs w:val="28"/>
        </w:rPr>
        <w:t>到2025年，大兴区农作物秸秆、瓜秧尾菜、果树枝条等秸秆类废弃物综合利用能力显著提高，收储运体系不断建立健全，利用市场主体进一步壮大，市场运行机制基本构建，秸秆产业化利用结构更加优化，肥料化利用规模不断扩大，基料化、原料化利用途径不断拓宽，农作物秸秆利用率保持在99%以上，瓜秧尾菜综合利用率达到68%以上，果树枝条综合利用率达到80%以上，基本形成布局合理、多元利用、可持续运行的综合利用格局。</w:t>
      </w:r>
    </w:p>
    <w:p>
      <w:pPr>
        <w:pStyle w:val="3"/>
        <w:rPr>
          <w:rFonts w:cstheme="minorHAnsi"/>
        </w:rPr>
      </w:pPr>
      <w:bookmarkStart w:id="23" w:name="_Toc119659790"/>
      <w:r>
        <w:rPr>
          <w:rFonts w:cstheme="minorHAnsi"/>
        </w:rPr>
        <w:t>（四）发展策略</w:t>
      </w:r>
      <w:bookmarkEnd w:id="23"/>
    </w:p>
    <w:p>
      <w:pPr>
        <w:widowControl/>
        <w:ind w:firstLine="560" w:firstLineChars="200"/>
        <w:rPr>
          <w:rFonts w:asciiTheme="minorHAnsi" w:hAnsiTheme="minorHAnsi" w:cstheme="minorHAnsi"/>
        </w:rPr>
      </w:pPr>
      <w:r>
        <w:rPr>
          <w:rFonts w:asciiTheme="minorHAnsi" w:hAnsiTheme="minorHAnsi" w:cstheme="minorHAnsi"/>
        </w:rPr>
        <w:t>基于大兴区秸秆类废弃物资源量和土地承载能力，以绿色低碳高值为导向，以废弃物循环高效利用为目标，以农作物秸秆、瓜秧尾菜、果树枝条等为主要对象，兼顾其他农业废弃物，构建资源台账系统，完善收储运体系，畅通秸秆科学还田、肥料化两大资源化利用途径，积极探索燃料化、基料化、原料化等高值利用方式，合理布局与建设重点</w:t>
      </w:r>
      <w:r>
        <w:rPr>
          <w:rFonts w:hint="eastAsia" w:asciiTheme="minorHAnsi" w:hAnsiTheme="minorHAnsi" w:cstheme="minorHAnsi"/>
          <w:lang w:eastAsia="zh-CN"/>
        </w:rPr>
        <w:t>内容</w:t>
      </w:r>
      <w:r>
        <w:rPr>
          <w:rFonts w:asciiTheme="minorHAnsi" w:hAnsiTheme="minorHAnsi" w:cstheme="minorHAnsi"/>
        </w:rPr>
        <w:t>，不断加强政策创设，强化科技创新与支撑体系，探索总结“秸秆+畜禽粪污+尾菜”肥料化利用、“秸秆+猪牛养殖双向循环”、“秸秆分类分级高值利用”等一批典型模式，促进全区秸秆类废弃物循环利用，形成具有鲜明大兴特色、带动作用强的秸秆类废弃物综合利用体系，推动全区农业绿色低碳发展。</w:t>
      </w:r>
    </w:p>
    <w:p>
      <w:pPr>
        <w:pStyle w:val="32"/>
        <w:widowControl/>
        <w:rPr>
          <w:rFonts w:asciiTheme="minorHAnsi" w:hAnsiTheme="minorHAnsi" w:cstheme="minorHAnsi"/>
        </w:rPr>
      </w:pPr>
      <w:r>
        <w:rPr>
          <w:rFonts w:asciiTheme="minorHAnsi" w:hAnsiTheme="minorHAnsi" w:cstheme="minorHAnsi"/>
        </w:rPr>
        <w:drawing>
          <wp:inline distT="0" distB="0" distL="0" distR="0">
            <wp:extent cx="5582920" cy="36302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582920" cy="3630439"/>
                    </a:xfrm>
                    <a:prstGeom prst="rect">
                      <a:avLst/>
                    </a:prstGeom>
                    <a:noFill/>
                  </pic:spPr>
                </pic:pic>
              </a:graphicData>
            </a:graphic>
          </wp:inline>
        </w:drawing>
      </w:r>
    </w:p>
    <w:p>
      <w:pPr>
        <w:pStyle w:val="32"/>
        <w:widowControl/>
        <w:rPr>
          <w:rFonts w:asciiTheme="minorHAnsi" w:hAnsiTheme="minorHAnsi" w:cstheme="minorHAnsi"/>
        </w:rPr>
      </w:pPr>
      <w:r>
        <w:rPr>
          <w:rFonts w:asciiTheme="minorHAnsi" w:hAnsiTheme="minorHAnsi" w:cstheme="minorHAnsi"/>
        </w:rPr>
        <w:t>图2-1 大兴区秸秆类废弃物综合利用发展模式图</w:t>
      </w:r>
    </w:p>
    <w:p>
      <w:pPr>
        <w:widowControl/>
        <w:ind w:firstLine="562" w:firstLineChars="200"/>
        <w:rPr>
          <w:rFonts w:asciiTheme="minorHAnsi" w:hAnsiTheme="minorHAnsi" w:cstheme="minorHAnsi"/>
        </w:rPr>
      </w:pPr>
      <w:r>
        <w:rPr>
          <w:rFonts w:asciiTheme="minorHAnsi" w:hAnsiTheme="minorHAnsi" w:cstheme="minorHAnsi"/>
          <w:b/>
          <w:bCs/>
        </w:rPr>
        <w:t>策略一：完善一镇一站，培育市场化运行主体。</w:t>
      </w:r>
      <w:r>
        <w:rPr>
          <w:rFonts w:asciiTheme="minorHAnsi" w:hAnsiTheme="minorHAnsi" w:cstheme="minorHAnsi"/>
        </w:rPr>
        <w:t>坚持做好集体经济领办的秸秆类废弃物综合利用站点运行，按照“政府引导、部门指导、企业主导”原则，由市场主体辐射带动，科学布局收储站、综合处理站点，建立完善的秸秆</w:t>
      </w:r>
      <w:r>
        <w:rPr>
          <w:rFonts w:hint="eastAsia" w:asciiTheme="minorHAnsi" w:hAnsiTheme="minorHAnsi" w:cstheme="minorHAnsi"/>
        </w:rPr>
        <w:t>类废弃物</w:t>
      </w:r>
      <w:r>
        <w:rPr>
          <w:rFonts w:asciiTheme="minorHAnsi" w:hAnsiTheme="minorHAnsi" w:cstheme="minorHAnsi"/>
        </w:rPr>
        <w:t>“收-储-运-处”综合利用体系，形成运行稳定的利用网络。</w:t>
      </w:r>
    </w:p>
    <w:p>
      <w:pPr>
        <w:widowControl/>
        <w:ind w:firstLine="562" w:firstLineChars="200"/>
        <w:rPr>
          <w:rFonts w:asciiTheme="minorHAnsi" w:hAnsiTheme="minorHAnsi" w:cstheme="minorHAnsi"/>
        </w:rPr>
      </w:pPr>
      <w:r>
        <w:rPr>
          <w:rFonts w:asciiTheme="minorHAnsi" w:hAnsiTheme="minorHAnsi" w:cstheme="minorHAnsi"/>
          <w:b/>
          <w:bCs/>
        </w:rPr>
        <w:t>策略二：全域推进就地就近协同处理利用</w:t>
      </w:r>
      <w:r>
        <w:rPr>
          <w:rFonts w:asciiTheme="minorHAnsi" w:hAnsiTheme="minorHAnsi" w:cstheme="minorHAnsi"/>
        </w:rPr>
        <w:t>。按照“大集中、小分散”，推广应用移动式粉碎机械设备，探索农业园区农业废弃物就地就近资源化利用的技术模式，进一步解决秸秆类废弃物收储运分散、难度大等问题。</w:t>
      </w:r>
    </w:p>
    <w:p>
      <w:pPr>
        <w:widowControl/>
        <w:ind w:firstLine="562" w:firstLineChars="200"/>
        <w:rPr>
          <w:rFonts w:asciiTheme="minorHAnsi" w:hAnsiTheme="minorHAnsi" w:cstheme="minorHAnsi"/>
        </w:rPr>
      </w:pPr>
      <w:r>
        <w:rPr>
          <w:rFonts w:asciiTheme="minorHAnsi" w:hAnsiTheme="minorHAnsi" w:cstheme="minorHAnsi"/>
          <w:b/>
          <w:bCs/>
        </w:rPr>
        <w:t>策略三：大力开展秸秆分级利用。</w:t>
      </w:r>
      <w:r>
        <w:rPr>
          <w:rFonts w:asciiTheme="minorHAnsi" w:hAnsiTheme="minorHAnsi" w:cstheme="minorHAnsi"/>
        </w:rPr>
        <w:t>将优质秸秆类废弃物用作加工生产颗粒燃料、制作生态材料的原料，一般的用于生产有机肥、加工块状燃料和加工食用菌基质，劣质的用于制作生物质压块成型燃料等，分门别类将秸秆类废弃物“吃干榨尽”，实现效益最大化。</w:t>
      </w:r>
    </w:p>
    <w:p>
      <w:pPr>
        <w:pStyle w:val="3"/>
        <w:rPr>
          <w:rFonts w:cstheme="minorHAnsi"/>
        </w:rPr>
      </w:pPr>
      <w:bookmarkStart w:id="24" w:name="_Toc119659791"/>
      <w:r>
        <w:rPr>
          <w:rFonts w:cstheme="minorHAnsi"/>
        </w:rPr>
        <w:t>（五）空间布局</w:t>
      </w:r>
      <w:bookmarkEnd w:id="24"/>
    </w:p>
    <w:p>
      <w:pPr>
        <w:widowControl/>
        <w:ind w:firstLine="560" w:firstLineChars="200"/>
        <w:rPr>
          <w:rFonts w:asciiTheme="minorHAnsi" w:hAnsiTheme="minorHAnsi" w:cstheme="minorHAnsi"/>
        </w:rPr>
      </w:pPr>
      <w:r>
        <w:rPr>
          <w:rFonts w:asciiTheme="minorHAnsi" w:hAnsiTheme="minorHAnsi" w:cstheme="minorHAnsi"/>
        </w:rPr>
        <w:t>结合大兴区实际情况，突出特色，全面协调，在此基础上进行总体布局。按照前瞻性、高起点、可操作性原则，既考虑全区总体功能布局，又充分展示形态架构。重点推进秸秆类废弃物肥料化、燃料化、基料化、原料化利用，坚持政府推动、企业主体，构建</w:t>
      </w:r>
      <w:r>
        <w:rPr>
          <w:rFonts w:asciiTheme="minorHAnsi" w:hAnsiTheme="minorHAnsi" w:cstheme="minorHAnsi"/>
          <w:b/>
          <w:bCs/>
        </w:rPr>
        <w:t>“一心引领·两极驱动·七站支撑·多点协同”</w:t>
      </w:r>
      <w:r>
        <w:rPr>
          <w:rFonts w:asciiTheme="minorHAnsi" w:hAnsiTheme="minorHAnsi" w:cstheme="minorHAnsi"/>
        </w:rPr>
        <w:t>的秸秆绿色循环利用一张网，如图2-2所示。</w:t>
      </w:r>
    </w:p>
    <w:p>
      <w:pPr>
        <w:widowControl/>
        <w:ind w:firstLine="562" w:firstLineChars="200"/>
        <w:rPr>
          <w:rFonts w:asciiTheme="minorHAnsi" w:hAnsiTheme="minorHAnsi" w:cstheme="minorHAnsi"/>
        </w:rPr>
      </w:pPr>
      <w:r>
        <w:rPr>
          <w:rFonts w:asciiTheme="minorHAnsi" w:hAnsiTheme="minorHAnsi" w:cstheme="minorHAnsi"/>
          <w:b/>
          <w:bCs/>
        </w:rPr>
        <w:t>一心引领：大兴区秸秆综合利用管理服务核心。</w:t>
      </w:r>
      <w:r>
        <w:rPr>
          <w:rFonts w:asciiTheme="minorHAnsi" w:hAnsiTheme="minorHAnsi" w:cstheme="minorHAnsi"/>
        </w:rPr>
        <w:t>依托大兴区农业农村局，建立秸秆综合利用管理服务核心，构建大兴区“区-镇”两级农作物秸秆、瓜秧尾菜、果树枝条等秸秆类废弃物资源台账系统，重点开展台账系统平台、农业废弃物科技创新，推进装备和信息化水平，健全收储网络。</w:t>
      </w:r>
    </w:p>
    <w:p>
      <w:pPr>
        <w:widowControl/>
        <w:ind w:firstLine="562" w:firstLineChars="200"/>
        <w:rPr>
          <w:rFonts w:asciiTheme="minorHAnsi" w:hAnsiTheme="minorHAnsi" w:cstheme="minorHAnsi"/>
        </w:rPr>
      </w:pPr>
      <w:r>
        <w:rPr>
          <w:rFonts w:asciiTheme="minorHAnsi" w:hAnsiTheme="minorHAnsi" w:cstheme="minorHAnsi"/>
          <w:b/>
          <w:bCs/>
        </w:rPr>
        <w:t>两极驱动：</w:t>
      </w:r>
      <w:r>
        <w:rPr>
          <w:rFonts w:asciiTheme="minorHAnsi" w:hAnsiTheme="minorHAnsi" w:cstheme="minorHAnsi"/>
        </w:rPr>
        <w:t>即以资源量大、综合利用基础条件好的</w:t>
      </w:r>
      <w:r>
        <w:rPr>
          <w:rFonts w:asciiTheme="minorHAnsi" w:hAnsiTheme="minorHAnsi" w:cstheme="minorHAnsi"/>
          <w:b/>
          <w:bCs/>
        </w:rPr>
        <w:t>庞各庄镇秸秆综合利用处理站、采育镇秸秆综合利用站为两极</w:t>
      </w:r>
      <w:r>
        <w:rPr>
          <w:rFonts w:asciiTheme="minorHAnsi" w:hAnsiTheme="minorHAnsi" w:cstheme="minorHAnsi"/>
        </w:rPr>
        <w:t>，加快推进产学研融合，推动综合利用处理技术创新，打通农业废弃物协同处理、绿色循环、高值利用等关键环节，试点推广新技术、新模式，打造区域综合利用示范站，驱动全区农业废弃物综合利用。</w:t>
      </w:r>
    </w:p>
    <w:p>
      <w:pPr>
        <w:widowControl/>
        <w:ind w:firstLine="562" w:firstLineChars="200"/>
        <w:rPr>
          <w:rFonts w:asciiTheme="minorHAnsi" w:hAnsiTheme="minorHAnsi" w:cstheme="minorHAnsi"/>
          <w:b/>
          <w:bCs/>
        </w:rPr>
      </w:pPr>
      <w:r>
        <w:rPr>
          <w:rFonts w:asciiTheme="minorHAnsi" w:hAnsiTheme="minorHAnsi" w:cstheme="minorHAnsi"/>
          <w:b/>
          <w:bCs/>
        </w:rPr>
        <w:t>七站支撑：即魏善庄镇、礼贤镇、青云店镇、安定镇、长子营镇、北臧村镇、榆垡镇等七个秸秆综合利用站点。</w:t>
      </w:r>
      <w:r>
        <w:rPr>
          <w:rFonts w:asciiTheme="minorHAnsi" w:hAnsiTheme="minorHAnsi" w:cstheme="minorHAnsi"/>
        </w:rPr>
        <w:t>依据站点特色重点推进肥料化、燃料化、基料化、原料化综合利用，加快建设和提升秸秆综合利用站点，完善收储运站及服务提升，提升综合利用技术装备水平高，打造7个二级综合处理站点。</w:t>
      </w:r>
    </w:p>
    <w:p>
      <w:pPr>
        <w:widowControl/>
        <w:ind w:firstLine="562" w:firstLineChars="200"/>
        <w:rPr>
          <w:rFonts w:asciiTheme="minorHAnsi" w:hAnsiTheme="minorHAnsi" w:cstheme="minorHAnsi"/>
        </w:rPr>
      </w:pPr>
      <w:r>
        <w:rPr>
          <w:rFonts w:asciiTheme="minorHAnsi" w:hAnsiTheme="minorHAnsi" w:cstheme="minorHAnsi"/>
          <w:b/>
          <w:bCs/>
        </w:rPr>
        <w:t>多点协同：</w:t>
      </w:r>
      <w:r>
        <w:rPr>
          <w:rFonts w:asciiTheme="minorHAnsi" w:hAnsiTheme="minorHAnsi" w:cstheme="minorHAnsi"/>
        </w:rPr>
        <w:t>在北臧村镇、长子营镇、青云店镇、榆垡镇等种植园区，布局农作物秸秆、瓜秧尾菜、果树枝条等废弃物处理点，包括玉米秸秆综合利用处理点、果树枝条综合处理点、瓜秧尾菜就地就近堆肥、畜禽粪肥还田试点及多个农业废弃物就地就近处理点，推广应用轻简化堆肥利用技术模式与装备，打通就近就地利用“最后一公里”。</w:t>
      </w:r>
    </w:p>
    <w:p>
      <w:pPr>
        <w:widowControl/>
        <w:spacing w:line="240" w:lineRule="auto"/>
        <w:rPr>
          <w:rFonts w:asciiTheme="minorHAnsi" w:hAnsiTheme="minorHAnsi" w:cstheme="minorHAnsi"/>
        </w:rPr>
      </w:pPr>
      <w:r>
        <w:rPr>
          <w:rFonts w:asciiTheme="minorHAnsi" w:hAnsiTheme="minorHAnsi" w:cstheme="minorHAnsi"/>
        </w:rPr>
        <w:drawing>
          <wp:inline distT="0" distB="0" distL="0" distR="0">
            <wp:extent cx="5399405" cy="58451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400000" cy="5845612"/>
                    </a:xfrm>
                    <a:prstGeom prst="rect">
                      <a:avLst/>
                    </a:prstGeom>
                    <a:noFill/>
                  </pic:spPr>
                </pic:pic>
              </a:graphicData>
            </a:graphic>
          </wp:inline>
        </w:drawing>
      </w:r>
    </w:p>
    <w:p>
      <w:pPr>
        <w:pStyle w:val="32"/>
        <w:widowControl/>
        <w:rPr>
          <w:rFonts w:asciiTheme="minorHAnsi" w:hAnsiTheme="minorHAnsi" w:cstheme="minorHAnsi"/>
        </w:rPr>
      </w:pPr>
      <w:r>
        <w:rPr>
          <w:rFonts w:asciiTheme="minorHAnsi" w:hAnsiTheme="minorHAnsi" w:cstheme="minorHAnsi"/>
        </w:rPr>
        <w:t>图2-2 大兴区秸秆类废弃物综合利用空间布局图</w:t>
      </w:r>
    </w:p>
    <w:p>
      <w:pPr>
        <w:widowControl/>
        <w:rPr>
          <w:rFonts w:asciiTheme="minorHAnsi" w:hAnsiTheme="minorHAnsi" w:cstheme="minorHAnsi"/>
        </w:rPr>
      </w:pPr>
    </w:p>
    <w:p>
      <w:pPr>
        <w:widowControl/>
        <w:spacing w:line="240" w:lineRule="auto"/>
        <w:jc w:val="left"/>
        <w:rPr>
          <w:rFonts w:asciiTheme="minorHAnsi" w:hAnsiTheme="minorHAnsi" w:cstheme="minorHAnsi"/>
        </w:rPr>
      </w:pPr>
      <w:r>
        <w:rPr>
          <w:rFonts w:asciiTheme="minorHAnsi" w:hAnsiTheme="minorHAnsi" w:cstheme="minorHAnsi"/>
        </w:rPr>
        <w:br w:type="page"/>
      </w:r>
    </w:p>
    <w:p>
      <w:pPr>
        <w:pStyle w:val="2"/>
        <w:widowControl/>
        <w:spacing w:before="156" w:after="156"/>
        <w:ind w:firstLine="640"/>
      </w:pPr>
      <w:bookmarkStart w:id="25" w:name="_Toc119659792"/>
      <w:r>
        <w:t>三、主要任务</w:t>
      </w:r>
      <w:bookmarkEnd w:id="25"/>
    </w:p>
    <w:p>
      <w:pPr>
        <w:pStyle w:val="3"/>
        <w:rPr>
          <w:rFonts w:cstheme="minorHAnsi"/>
        </w:rPr>
      </w:pPr>
      <w:bookmarkStart w:id="26" w:name="_Toc101186352"/>
      <w:bookmarkStart w:id="27" w:name="_Toc119659793"/>
      <w:r>
        <w:rPr>
          <w:rFonts w:cstheme="minorHAnsi"/>
        </w:rPr>
        <w:t>（一）建立健全资源台账系统</w:t>
      </w:r>
      <w:bookmarkEnd w:id="26"/>
      <w:bookmarkEnd w:id="27"/>
    </w:p>
    <w:p>
      <w:pPr>
        <w:pStyle w:val="4"/>
        <w:rPr>
          <w:rFonts w:cstheme="minorHAnsi"/>
        </w:rPr>
      </w:pPr>
      <w:r>
        <w:rPr>
          <w:rFonts w:cstheme="minorHAnsi"/>
        </w:rPr>
        <w:t>1．进一步完善农作物秸秆资源台账</w:t>
      </w:r>
    </w:p>
    <w:p>
      <w:pPr>
        <w:widowControl/>
        <w:ind w:firstLine="560" w:firstLineChars="200"/>
        <w:rPr>
          <w:rFonts w:asciiTheme="minorHAnsi" w:hAnsiTheme="minorHAnsi" w:cstheme="minorHAnsi"/>
        </w:rPr>
      </w:pPr>
      <w:r>
        <w:rPr>
          <w:rFonts w:asciiTheme="minorHAnsi" w:hAnsiTheme="minorHAnsi" w:cstheme="minorHAnsi"/>
        </w:rPr>
        <w:t>持续对接国家、北京市秸秆资源数据台账，对全区主要农作物草谷比、秸秆可收集系数进行测算，进一步完善秸秆产生与利用情况调查监测标准和方法。针对大兴区玉米、小麦、甘薯、大豆、花生和其他谷物等6类主要农作物，结合不同的利用方式、途径和主体，对全区9个涉农重点镇开展常态化、规范化的调查，摸清资源底数，掌握农作物秸秆产生量、直接还田量、离田利用量等基础数据，按时完成年度秸秆资源台账系统平台上报，为全区秸秆类废弃物综合利用相关工作开展提供基础支撑。</w:t>
      </w:r>
    </w:p>
    <w:p>
      <w:pPr>
        <w:pStyle w:val="4"/>
        <w:rPr>
          <w:rFonts w:cstheme="minorHAnsi"/>
        </w:rPr>
      </w:pPr>
      <w:r>
        <w:rPr>
          <w:rFonts w:cstheme="minorHAnsi"/>
        </w:rPr>
        <w:t>2．加快建立瓜秧尾菜资源台账</w:t>
      </w:r>
    </w:p>
    <w:p>
      <w:pPr>
        <w:widowControl/>
        <w:ind w:firstLine="560" w:firstLineChars="200"/>
        <w:rPr>
          <w:rFonts w:asciiTheme="minorHAnsi" w:hAnsiTheme="minorHAnsi" w:cstheme="minorHAnsi"/>
        </w:rPr>
      </w:pPr>
      <w:r>
        <w:rPr>
          <w:rFonts w:asciiTheme="minorHAnsi" w:hAnsiTheme="minorHAnsi" w:cstheme="minorHAnsi"/>
        </w:rPr>
        <w:t>针对大兴区西甜瓜、蔬菜种植面积大，瓜秧尾菜资源量大且底数不清等问题，加快建立科学规范的瓜秧尾菜废弃物产生与利用情况调查监测标准和方法，研究确定瓜秧尾菜废弃物产生系数，摸清大兴区瓜秧尾菜资源产生和“五料化”利用情况，探索建立瓜秧尾菜资源台账。对接北京市农业废弃物资源数据共享平台，为大兴区制定瓜秧尾菜废弃物综合利用政策、设置综合利用站点等提供数据支撑。</w:t>
      </w:r>
    </w:p>
    <w:p>
      <w:pPr>
        <w:pStyle w:val="3"/>
        <w:rPr>
          <w:rFonts w:cstheme="minorHAnsi"/>
        </w:rPr>
      </w:pPr>
      <w:bookmarkStart w:id="28" w:name="_Toc119659794"/>
      <w:r>
        <w:rPr>
          <w:rFonts w:cstheme="minorHAnsi"/>
        </w:rPr>
        <w:t>（二）完善收储运服务体系</w:t>
      </w:r>
      <w:bookmarkEnd w:id="28"/>
    </w:p>
    <w:p>
      <w:pPr>
        <w:pStyle w:val="4"/>
        <w:rPr>
          <w:rFonts w:cstheme="minorHAnsi"/>
        </w:rPr>
      </w:pPr>
      <w:r>
        <w:rPr>
          <w:rFonts w:cstheme="minorHAnsi"/>
        </w:rPr>
        <w:t>1．健全秸秆收储服务体系</w:t>
      </w:r>
    </w:p>
    <w:p>
      <w:pPr>
        <w:widowControl/>
        <w:ind w:firstLine="560" w:firstLineChars="200"/>
        <w:rPr>
          <w:rFonts w:asciiTheme="minorHAnsi" w:hAnsiTheme="minorHAnsi" w:cstheme="minorHAnsi"/>
        </w:rPr>
      </w:pPr>
      <w:r>
        <w:rPr>
          <w:rFonts w:asciiTheme="minorHAnsi" w:hAnsiTheme="minorHAnsi" w:cstheme="minorHAnsi"/>
        </w:rPr>
        <w:t>进一步完善秸秆类废弃物离田收储体系，根据各镇综合利用站点布局及收储服务范围，充分利用“环卫+收储”优势，推进秸秆、设施尾菜、果树枝条等秸秆类废弃物分类收储运体系建设；利用好农机购置补贴机制，提升收储及机械处理设备设施，不断完善各镇综合利用站点收储运场所基础设施水平。鼓励发展以社会化服务组织为主体，合作社、农户自运输为补充的收储服务模式，创新利益联结机制，建立全域全覆盖的服务网络，推行秸秆类废弃物置换有机肥、订单式处理等多元化运作模式，形成商品化收储和供应能力，促进秸秆类废弃物收储运的专业化和市场化。</w:t>
      </w:r>
    </w:p>
    <w:p>
      <w:pPr>
        <w:pStyle w:val="4"/>
        <w:rPr>
          <w:rFonts w:cstheme="minorHAnsi"/>
        </w:rPr>
      </w:pPr>
      <w:r>
        <w:rPr>
          <w:rFonts w:cstheme="minorHAnsi"/>
        </w:rPr>
        <w:t>2．加快市场化经营服务主体培育</w:t>
      </w:r>
    </w:p>
    <w:p>
      <w:pPr>
        <w:widowControl/>
        <w:ind w:firstLine="560" w:firstLineChars="200"/>
        <w:rPr>
          <w:rFonts w:asciiTheme="minorHAnsi" w:hAnsiTheme="minorHAnsi" w:cstheme="minorHAnsi"/>
        </w:rPr>
      </w:pPr>
      <w:r>
        <w:rPr>
          <w:rFonts w:asciiTheme="minorHAnsi" w:hAnsiTheme="minorHAnsi" w:cstheme="minorHAnsi"/>
        </w:rPr>
        <w:t>充分发挥市场在资源配置中的决定性作用，加快培育一批秸秆、瓜秧尾菜、果树枝条等废弃物还田利用、离田收储、运输、资源化利用的市场化经营服务主体，提高市场化经营主体建设水平及经营管理水平，加快推进秸秆类废弃物综合利用产业结构优化和提质增效，构建覆盖全域范围的秸秆类废弃物综合利用网络，实现农业废弃物变废为宝。</w:t>
      </w:r>
    </w:p>
    <w:p>
      <w:pPr>
        <w:pStyle w:val="3"/>
        <w:rPr>
          <w:rFonts w:cstheme="minorHAnsi"/>
        </w:rPr>
      </w:pPr>
      <w:bookmarkStart w:id="29" w:name="_Toc101186355"/>
      <w:bookmarkStart w:id="30" w:name="_Toc119659795"/>
      <w:r>
        <w:rPr>
          <w:rFonts w:cstheme="minorHAnsi"/>
        </w:rPr>
        <w:t>（三）加大肥料化循环利用</w:t>
      </w:r>
      <w:bookmarkEnd w:id="29"/>
      <w:bookmarkEnd w:id="30"/>
    </w:p>
    <w:p>
      <w:pPr>
        <w:pStyle w:val="4"/>
        <w:rPr>
          <w:rFonts w:cstheme="minorHAnsi"/>
        </w:rPr>
      </w:pPr>
      <w:r>
        <w:rPr>
          <w:rFonts w:cstheme="minorHAnsi"/>
        </w:rPr>
        <w:t>1．推广秸秆科学还田技术</w:t>
      </w:r>
    </w:p>
    <w:p>
      <w:pPr>
        <w:widowControl/>
        <w:ind w:firstLine="560" w:firstLineChars="200"/>
        <w:rPr>
          <w:rFonts w:asciiTheme="minorHAnsi" w:hAnsiTheme="minorHAnsi" w:cstheme="minorHAnsi"/>
        </w:rPr>
      </w:pPr>
      <w:r>
        <w:rPr>
          <w:rFonts w:asciiTheme="minorHAnsi" w:hAnsiTheme="minorHAnsi" w:cstheme="minorHAnsi"/>
        </w:rPr>
        <w:t>支持更新秸秆类废弃物综合利用农机设备，有效提升秸秆机械化还田作业质量和能力，提高秸秆还田效果和利用率。推广玉米秸秆深翻还田、秸秆覆盖还田等秸秆科学还田技术，总结凝练秸秆科学还田利用典型技术模式与做法，并进行示范与推广，不断扩大秸秆粉碎还田、腐熟还田等规模和覆盖比例，实现全区农作物秸秆科学还田，稳步提升耕地质量。</w:t>
      </w:r>
    </w:p>
    <w:p>
      <w:pPr>
        <w:pStyle w:val="4"/>
        <w:rPr>
          <w:rFonts w:cstheme="minorHAnsi"/>
        </w:rPr>
      </w:pPr>
      <w:r>
        <w:rPr>
          <w:rFonts w:cstheme="minorHAnsi"/>
        </w:rPr>
        <w:t>2．开展秸秆还田示范监测评价</w:t>
      </w:r>
    </w:p>
    <w:p>
      <w:pPr>
        <w:widowControl/>
        <w:ind w:firstLine="560" w:firstLineChars="200"/>
        <w:rPr>
          <w:rFonts w:asciiTheme="minorHAnsi" w:hAnsiTheme="minorHAnsi" w:cstheme="minorHAnsi"/>
        </w:rPr>
      </w:pPr>
      <w:r>
        <w:rPr>
          <w:rFonts w:asciiTheme="minorHAnsi" w:hAnsiTheme="minorHAnsi" w:cstheme="minorHAnsi"/>
        </w:rPr>
        <w:t>依托植保、土肥、农机推广等技术服务部门，布设秸秆还田生态效应监测点位，对秸秆还田主要数据进行长期监测，分析秸秆还田对农作物生长的影响，评估不同还田方式、还田年限、耕作方式、作物种类、施氮量和气候条件等因素土壤固碳减排效果，综合评价秸秆还田利用在耕地地力提升、化肥减施及病虫害防控等农业绿色发展方面的成效，</w:t>
      </w:r>
      <w:bookmarkStart w:id="31" w:name="_Hlk101704120"/>
      <w:r>
        <w:rPr>
          <w:rFonts w:asciiTheme="minorHAnsi" w:hAnsiTheme="minorHAnsi" w:cstheme="minorHAnsi"/>
        </w:rPr>
        <w:t>为全区农业绿色发展提供数据支撑</w:t>
      </w:r>
      <w:bookmarkEnd w:id="31"/>
      <w:r>
        <w:rPr>
          <w:rFonts w:asciiTheme="minorHAnsi" w:hAnsiTheme="minorHAnsi" w:cstheme="minorHAnsi"/>
        </w:rPr>
        <w:t>。</w:t>
      </w:r>
    </w:p>
    <w:p>
      <w:pPr>
        <w:pStyle w:val="4"/>
        <w:rPr>
          <w:rFonts w:cstheme="minorHAnsi"/>
        </w:rPr>
      </w:pPr>
      <w:r>
        <w:rPr>
          <w:rFonts w:cstheme="minorHAnsi"/>
        </w:rPr>
        <w:t>3．提升秸秆肥料化利用水平</w:t>
      </w:r>
    </w:p>
    <w:p>
      <w:pPr>
        <w:widowControl/>
        <w:ind w:firstLine="560" w:firstLineChars="200"/>
        <w:rPr>
          <w:rFonts w:asciiTheme="minorHAnsi" w:hAnsiTheme="minorHAnsi" w:cstheme="minorHAnsi"/>
        </w:rPr>
      </w:pPr>
      <w:r>
        <w:rPr>
          <w:rFonts w:asciiTheme="minorHAnsi" w:hAnsiTheme="minorHAnsi" w:cstheme="minorHAnsi"/>
        </w:rPr>
        <w:t>发挥镇级农业废弃物综合处理站点的示范引领作用，探索适宜大兴区的农业废弃物肥料化利用模式，支持引进肥料化处理的先进技术与生产设备，持续提升以农作物秸秆、瓜秧尾菜、果树枝条为主要原料的土壤改良剂、有机肥料等产品加工能力。积极对接区域内生猪、肉牛养殖基地，探索种养殖废弃物协同肥料化利用。加强与国内外科研院所及生物肥料高新技术企业的合作，加大基质肥、功能肥料等多元产品研发力度，提升产品品质和效益。加快引进推广一体化机械施肥等技术装备，有效降低有机肥施用成本。</w:t>
      </w:r>
    </w:p>
    <w:p>
      <w:pPr>
        <w:pStyle w:val="4"/>
        <w:rPr>
          <w:rFonts w:cstheme="minorHAnsi"/>
        </w:rPr>
      </w:pPr>
      <w:r>
        <w:rPr>
          <w:rFonts w:cstheme="minorHAnsi"/>
        </w:rPr>
        <w:t>4．强化就地就近利用能力</w:t>
      </w:r>
    </w:p>
    <w:p>
      <w:pPr>
        <w:widowControl/>
        <w:ind w:firstLine="560" w:firstLineChars="200"/>
        <w:rPr>
          <w:rFonts w:asciiTheme="minorHAnsi" w:hAnsiTheme="minorHAnsi" w:cstheme="minorHAnsi"/>
        </w:rPr>
      </w:pPr>
      <w:r>
        <w:rPr>
          <w:rFonts w:asciiTheme="minorHAnsi" w:hAnsiTheme="minorHAnsi" w:cstheme="minorHAnsi"/>
        </w:rPr>
        <w:t>推广瓜秧尾菜、果树枝条就地肥料化等利用方式，加快就地堆肥、覆膜发酵、移动式生物快速堆肥等技术应用；优化提升废弃物堆肥机械装备，配套可移动式制肥设备，增加杂物分拣环节，购置专用发酵菌剂，改善堆肥品质；开展堆肥还田技术试点示范，探索瓜秧尾菜、果树枝条等农业废弃物混合堆肥还田利用技术模式，完善堆肥还田技术和操作规程，推动农业废弃物就近就地消纳利用。</w:t>
      </w:r>
    </w:p>
    <w:p>
      <w:pPr>
        <w:pStyle w:val="3"/>
        <w:rPr>
          <w:rFonts w:cstheme="minorHAnsi"/>
        </w:rPr>
      </w:pPr>
      <w:bookmarkStart w:id="32" w:name="_Toc119659796"/>
      <w:r>
        <w:rPr>
          <w:rFonts w:cstheme="minorHAnsi"/>
        </w:rPr>
        <w:t>（四）鼓励支持高值化利用</w:t>
      </w:r>
      <w:bookmarkEnd w:id="32"/>
    </w:p>
    <w:p>
      <w:pPr>
        <w:pStyle w:val="4"/>
        <w:rPr>
          <w:rFonts w:cstheme="minorHAnsi"/>
        </w:rPr>
      </w:pPr>
      <w:r>
        <w:rPr>
          <w:rFonts w:cstheme="minorHAnsi"/>
        </w:rPr>
        <w:t>1．持续推进燃料化利用</w:t>
      </w:r>
    </w:p>
    <w:p>
      <w:pPr>
        <w:widowControl/>
        <w:ind w:firstLine="560" w:firstLineChars="200"/>
        <w:rPr>
          <w:rFonts w:asciiTheme="minorHAnsi" w:hAnsiTheme="minorHAnsi" w:cstheme="minorHAnsi"/>
        </w:rPr>
      </w:pPr>
      <w:r>
        <w:rPr>
          <w:rFonts w:asciiTheme="minorHAnsi" w:hAnsiTheme="minorHAnsi" w:cstheme="minorHAnsi"/>
        </w:rPr>
        <w:t>坚持因地制宜、政府引导、市场运作，继续加大支持力度，强化生物质收储运体系能力建设，构建市场化运营机制，鼓励市场主体探索农业废弃物燃料化利用多元运作模式，提升农业废弃物燃料化利用水平。通过强化秸秆收储集中点、生物质燃料加工点等站点处理能力，采用粉碎、压块、打包、制粒等制备捆状、棒状、颗粒状生物质燃料，形成以生物清洁能源为基础，技术先进、经济适用、可复制可推广的多元化利用模式，促进农业废弃物高效利用。</w:t>
      </w:r>
    </w:p>
    <w:p>
      <w:pPr>
        <w:pStyle w:val="4"/>
        <w:rPr>
          <w:rFonts w:cstheme="minorHAnsi"/>
        </w:rPr>
      </w:pPr>
      <w:r>
        <w:rPr>
          <w:rFonts w:cstheme="minorHAnsi"/>
        </w:rPr>
        <w:t>2．不断扩大基料化利用</w:t>
      </w:r>
    </w:p>
    <w:p>
      <w:pPr>
        <w:widowControl/>
        <w:ind w:firstLine="602"/>
        <w:rPr>
          <w:rFonts w:asciiTheme="minorHAnsi" w:hAnsiTheme="minorHAnsi" w:cstheme="minorHAnsi"/>
          <w:bCs/>
          <w:kern w:val="0"/>
          <w:szCs w:val="28"/>
        </w:rPr>
      </w:pPr>
      <w:r>
        <w:rPr>
          <w:rFonts w:asciiTheme="minorHAnsi" w:hAnsiTheme="minorHAnsi" w:cstheme="minorHAnsi"/>
        </w:rPr>
        <w:t>积极引导和鼓励以秸秆、果树枝条等为基料的食用菌菌棒生产，支持具有一定规模的食用菌生产企业或合作社</w:t>
      </w:r>
      <w:r>
        <w:rPr>
          <w:rFonts w:asciiTheme="minorHAnsi" w:hAnsiTheme="minorHAnsi" w:cstheme="minorHAnsi"/>
          <w:kern w:val="0"/>
          <w:szCs w:val="28"/>
        </w:rPr>
        <w:t>推广应用果树枝条基料栽培食用菌技术，</w:t>
      </w:r>
      <w:r>
        <w:rPr>
          <w:rFonts w:asciiTheme="minorHAnsi" w:hAnsiTheme="minorHAnsi" w:cstheme="minorHAnsi"/>
        </w:rPr>
        <w:t>建立</w:t>
      </w:r>
      <w:r>
        <w:rPr>
          <w:rFonts w:asciiTheme="minorHAnsi" w:hAnsiTheme="minorHAnsi" w:cstheme="minorHAnsi"/>
          <w:kern w:val="0"/>
          <w:szCs w:val="28"/>
        </w:rPr>
        <w:t>基料</w:t>
      </w:r>
      <w:r>
        <w:rPr>
          <w:rFonts w:asciiTheme="minorHAnsi" w:hAnsiTheme="minorHAnsi" w:cstheme="minorHAnsi"/>
        </w:rPr>
        <w:t>化利用处理站点，</w:t>
      </w:r>
      <w:r>
        <w:rPr>
          <w:rFonts w:asciiTheme="minorHAnsi" w:hAnsiTheme="minorHAnsi" w:cstheme="minorHAnsi"/>
          <w:kern w:val="0"/>
          <w:szCs w:val="28"/>
        </w:rPr>
        <w:t>开展食用菌工厂化生产示范，降低食用菌基料成本，提升食用菌产品质量，促进果树枝条高值利用；</w:t>
      </w:r>
      <w:r>
        <w:rPr>
          <w:rFonts w:asciiTheme="minorHAnsi" w:hAnsiTheme="minorHAnsi" w:cstheme="minorHAnsi"/>
          <w:bCs/>
          <w:kern w:val="0"/>
          <w:szCs w:val="28"/>
        </w:rPr>
        <w:t>推广果树枝条制作育苗基质技术，鼓励将果树枝条等堆肥后用于花卉无土栽培基质、果蔬穴盘育秧基质、盆栽花卉生长基等基质生产。</w:t>
      </w:r>
    </w:p>
    <w:p>
      <w:pPr>
        <w:pStyle w:val="4"/>
        <w:rPr>
          <w:rFonts w:cstheme="minorHAnsi"/>
        </w:rPr>
      </w:pPr>
      <w:r>
        <w:rPr>
          <w:rFonts w:cstheme="minorHAnsi"/>
        </w:rPr>
        <w:t>3．探索拓展原料化利用</w:t>
      </w:r>
    </w:p>
    <w:p>
      <w:pPr>
        <w:widowControl/>
        <w:ind w:firstLine="560" w:firstLineChars="200"/>
        <w:rPr>
          <w:rFonts w:asciiTheme="minorHAnsi" w:hAnsiTheme="minorHAnsi" w:cstheme="minorHAnsi"/>
        </w:rPr>
      </w:pPr>
      <w:r>
        <w:rPr>
          <w:rFonts w:asciiTheme="minorHAnsi" w:hAnsiTheme="minorHAnsi" w:cstheme="minorHAnsi"/>
          <w:kern w:val="0"/>
          <w:szCs w:val="28"/>
        </w:rPr>
        <w:t>积极开展果树枝条生产生态覆盖材料技术的推广应用，通过粉碎、筛选、染色等工艺，将果树枝条制备成生态覆盖材料并应用到园林绿化等领域，实现农林废弃物的生态循环利用。紧密结合大兴区休闲农业发展，探索建立秸秆原料化利用产业链，加快秸秆代木、纤维原料、生物基新材料等原料化利用技术的深度研发和产业化进程，</w:t>
      </w:r>
      <w:r>
        <w:rPr>
          <w:rFonts w:asciiTheme="minorHAnsi" w:hAnsiTheme="minorHAnsi" w:cstheme="minorHAnsi"/>
          <w:bCs/>
          <w:kern w:val="0"/>
          <w:szCs w:val="28"/>
        </w:rPr>
        <w:t>生产</w:t>
      </w:r>
      <w:r>
        <w:rPr>
          <w:rFonts w:asciiTheme="minorHAnsi" w:hAnsiTheme="minorHAnsi" w:cstheme="minorHAnsi"/>
          <w:kern w:val="0"/>
          <w:szCs w:val="28"/>
        </w:rPr>
        <w:t>建筑板材等环保建材，扩大秸秆循环再利用的范围，</w:t>
      </w:r>
      <w:r>
        <w:rPr>
          <w:rFonts w:asciiTheme="minorHAnsi" w:hAnsiTheme="minorHAnsi" w:cstheme="minorHAnsi"/>
        </w:rPr>
        <w:t>有效实现秸秆的“减量化、资源化、无害化”利用。</w:t>
      </w:r>
      <w:r>
        <w:rPr>
          <w:rFonts w:asciiTheme="minorHAnsi" w:hAnsiTheme="minorHAnsi" w:cstheme="minorHAnsi"/>
          <w:kern w:val="0"/>
          <w:szCs w:val="28"/>
        </w:rPr>
        <w:t>探索建立政府引导、企业运营、种植主体参与的原料化产业运行模式，建立长期稳定的循环生产模式。</w:t>
      </w:r>
    </w:p>
    <w:p>
      <w:pPr>
        <w:pStyle w:val="3"/>
        <w:rPr>
          <w:rFonts w:cstheme="minorHAnsi"/>
        </w:rPr>
      </w:pPr>
      <w:bookmarkStart w:id="33" w:name="_Toc119659797"/>
      <w:r>
        <w:rPr>
          <w:rFonts w:cstheme="minorHAnsi"/>
        </w:rPr>
        <w:t>（五）探索建立长效运行机制</w:t>
      </w:r>
      <w:bookmarkEnd w:id="33"/>
    </w:p>
    <w:p>
      <w:pPr>
        <w:pStyle w:val="4"/>
        <w:rPr>
          <w:rFonts w:cstheme="minorHAnsi"/>
        </w:rPr>
      </w:pPr>
      <w:r>
        <w:rPr>
          <w:rFonts w:cstheme="minorHAnsi"/>
        </w:rPr>
        <w:t>1．创设支持奖补政策</w:t>
      </w:r>
    </w:p>
    <w:p>
      <w:pPr>
        <w:widowControl/>
        <w:ind w:firstLine="560" w:firstLineChars="200"/>
        <w:rPr>
          <w:rFonts w:asciiTheme="minorHAnsi" w:hAnsiTheme="minorHAnsi" w:cstheme="minorHAnsi"/>
        </w:rPr>
      </w:pPr>
      <w:r>
        <w:rPr>
          <w:rFonts w:asciiTheme="minorHAnsi" w:hAnsiTheme="minorHAnsi" w:cstheme="minorHAnsi"/>
        </w:rPr>
        <w:t>以秸秆综合利用重点区建设为抓手，加大政策创设，探索建立以绿色低碳为导向的秸秆生态补偿制度，努力打造一批秸秆高值化利用亮点</w:t>
      </w:r>
      <w:r>
        <w:rPr>
          <w:rFonts w:hint="eastAsia" w:asciiTheme="minorHAnsi" w:hAnsiTheme="minorHAnsi" w:cstheme="minorHAnsi"/>
          <w:lang w:eastAsia="zh-CN"/>
        </w:rPr>
        <w:t>站点</w:t>
      </w:r>
      <w:r>
        <w:rPr>
          <w:rFonts w:asciiTheme="minorHAnsi" w:hAnsiTheme="minorHAnsi" w:cstheme="minorHAnsi"/>
        </w:rPr>
        <w:t>。积极探索秸秆类废弃物综合利用长效机制，梳理出适合大兴区的农业废弃物综合利用政策清单。加强农业废弃物处理作业的补贴力度，将粮田、菜田任务完成情况与农业废弃物综合利用挂钩，探索创新秸秆类废弃物综合利用补偿机制。</w:t>
      </w:r>
    </w:p>
    <w:p>
      <w:pPr>
        <w:pStyle w:val="4"/>
        <w:rPr>
          <w:rFonts w:cstheme="minorHAnsi"/>
        </w:rPr>
      </w:pPr>
      <w:r>
        <w:rPr>
          <w:rFonts w:cstheme="minorHAnsi"/>
        </w:rPr>
        <w:t>2．探索创新运行服务机制</w:t>
      </w:r>
    </w:p>
    <w:p>
      <w:pPr>
        <w:widowControl/>
        <w:ind w:firstLine="560" w:firstLineChars="200"/>
        <w:rPr>
          <w:rFonts w:asciiTheme="minorHAnsi" w:hAnsiTheme="minorHAnsi" w:cstheme="minorHAnsi"/>
        </w:rPr>
      </w:pPr>
      <w:r>
        <w:rPr>
          <w:rFonts w:asciiTheme="minorHAnsi" w:hAnsiTheme="minorHAnsi" w:cstheme="minorHAnsi"/>
        </w:rPr>
        <w:t>探索构建乡镇政府引导，专业化资源化利用主体主导，农业园区、农机专业合作社、农户等多方参与的服务模式。依托现有专业化的经营主体运作队伍，培育一批收储运、有机肥加工、基料化利用等领域市场化经营主体。鼓励各类主体积极探索创新服务机制，开发新技术、新模式、新业态，探索农业废弃物订单式处理、农业废弃物置换商品、废弃物收购等多</w:t>
      </w:r>
      <w:bookmarkStart w:id="34" w:name="_Hlk79848475"/>
      <w:r>
        <w:rPr>
          <w:rFonts w:asciiTheme="minorHAnsi" w:hAnsiTheme="minorHAnsi" w:cstheme="minorHAnsi"/>
        </w:rPr>
        <w:t>种运作模式，梳理形成秸秆类废弃物综合利用的市场化运行服务机制。</w:t>
      </w:r>
    </w:p>
    <w:p>
      <w:pPr>
        <w:pStyle w:val="3"/>
        <w:rPr>
          <w:rFonts w:cstheme="minorHAnsi"/>
        </w:rPr>
      </w:pPr>
      <w:bookmarkStart w:id="35" w:name="_Toc119659798"/>
      <w:r>
        <w:rPr>
          <w:rFonts w:cstheme="minorHAnsi"/>
        </w:rPr>
        <w:t>（六）强化科技支撑体系建设</w:t>
      </w:r>
      <w:bookmarkEnd w:id="35"/>
    </w:p>
    <w:p>
      <w:pPr>
        <w:pStyle w:val="4"/>
        <w:rPr>
          <w:rFonts w:cstheme="minorHAnsi"/>
        </w:rPr>
      </w:pPr>
      <w:r>
        <w:rPr>
          <w:rFonts w:cstheme="minorHAnsi"/>
        </w:rPr>
        <w:t>1．引进和集成智能化装备</w:t>
      </w:r>
    </w:p>
    <w:p>
      <w:pPr>
        <w:widowControl/>
        <w:ind w:firstLine="560" w:firstLineChars="200"/>
        <w:rPr>
          <w:rFonts w:asciiTheme="minorHAnsi" w:hAnsiTheme="minorHAnsi" w:cstheme="minorHAnsi"/>
        </w:rPr>
      </w:pPr>
      <w:r>
        <w:rPr>
          <w:rFonts w:asciiTheme="minorHAnsi" w:hAnsiTheme="minorHAnsi" w:cstheme="minorHAnsi"/>
        </w:rPr>
        <w:t>以精准作业和智能化为目标，不断提升秸秆、瓜秧尾菜等综合利用智能化水平。支持农机专业合作社等新型经营主体购置秸秆粉碎机、深松机等设施设备，提高农作物秸秆机械化处理能力；积极推广秸秆、瓜秧尾菜、畜禽粪便等肥料化设施设备，支持通过制备有机肥料、土壤改良剂等还田使用，提高耕地地力水平；积极推广原料化利用设施设备，支持通过制备基质、菌棒和生物覆盖材料，提高农业废弃物转化利用效率和产品品质，提升经济、社会和生态效益。</w:t>
      </w:r>
    </w:p>
    <w:p>
      <w:pPr>
        <w:pStyle w:val="4"/>
        <w:rPr>
          <w:rFonts w:cstheme="minorHAnsi"/>
        </w:rPr>
      </w:pPr>
      <w:r>
        <w:rPr>
          <w:rFonts w:cstheme="minorHAnsi"/>
        </w:rPr>
        <w:t>2．总结技术经验与典型模式</w:t>
      </w:r>
    </w:p>
    <w:p>
      <w:pPr>
        <w:widowControl/>
        <w:ind w:firstLine="560" w:firstLineChars="200"/>
        <w:rPr>
          <w:rFonts w:asciiTheme="minorHAnsi" w:hAnsiTheme="minorHAnsi" w:cstheme="minorHAnsi"/>
        </w:rPr>
      </w:pPr>
      <w:r>
        <w:rPr>
          <w:rFonts w:asciiTheme="minorHAnsi" w:hAnsiTheme="minorHAnsi" w:cstheme="minorHAnsi"/>
        </w:rPr>
        <w:t>制定和推广一批符合大兴区秸秆粉碎还田、机械化收储作业、瓜秧尾菜肥料化利用等技术经验，构建形成秸秆类废弃物综合利用技术体系。围绕秸秆沃土、产业化利用、全量利用、协同利用等进行创新实践，结合北京市“双碳”目标，总结凝练一批具有大兴特色的秸秆类废弃物综合利用典型技术模式，明确技术模式的内涵、特点、适用区域等；组织遴选和发布一批秸秆类废弃物综合利用主推技术，扩大推广应用范围，放大示范效应。</w:t>
      </w:r>
    </w:p>
    <w:p>
      <w:pPr>
        <w:pStyle w:val="4"/>
        <w:rPr>
          <w:rFonts w:cstheme="minorHAnsi"/>
        </w:rPr>
      </w:pPr>
      <w:r>
        <w:rPr>
          <w:rFonts w:cstheme="minorHAnsi"/>
        </w:rPr>
        <w:t>3．加强秸秆类废弃物综合利用技术服务</w:t>
      </w:r>
    </w:p>
    <w:p>
      <w:pPr>
        <w:widowControl/>
        <w:ind w:firstLine="560" w:firstLineChars="200"/>
        <w:rPr>
          <w:rFonts w:asciiTheme="minorHAnsi" w:hAnsiTheme="minorHAnsi" w:cstheme="minorHAnsi"/>
        </w:rPr>
      </w:pPr>
      <w:r>
        <w:rPr>
          <w:rFonts w:asciiTheme="minorHAnsi" w:hAnsiTheme="minorHAnsi" w:cstheme="minorHAnsi"/>
        </w:rPr>
        <w:t>积极整合农业科技资源，强化技术创新与协同创新，推动信息技术与秸秆等农业废弃物循环利用各环节相互融合；积极对接科研院所，推广秸秆、瓜秧尾菜、畜禽粪污等协同处理和资源化利用技术装备，加快科技成果的转化应用。组织开展农业废弃物综合利用专题培训交流与现场观摩会，普及推广新技术、新设备、新模式，不断推进大兴区农业废弃物科学还田、高效收储运、资源化利用、种养循环发展。</w:t>
      </w:r>
      <w:r>
        <w:rPr>
          <w:rFonts w:asciiTheme="minorHAnsi" w:hAnsiTheme="minorHAnsi" w:cstheme="minorHAnsi"/>
        </w:rPr>
        <w:br w:type="page"/>
      </w:r>
    </w:p>
    <w:p>
      <w:pPr>
        <w:pStyle w:val="2"/>
        <w:widowControl/>
        <w:spacing w:before="156" w:after="156"/>
        <w:ind w:firstLine="640"/>
      </w:pPr>
      <w:bookmarkStart w:id="36" w:name="_Toc119659799"/>
      <w:r>
        <w:t>四、重点</w:t>
      </w:r>
      <w:bookmarkEnd w:id="36"/>
      <w:r>
        <w:rPr>
          <w:rFonts w:hint="eastAsia"/>
        </w:rPr>
        <w:t>支持内容</w:t>
      </w:r>
    </w:p>
    <w:p>
      <w:pPr>
        <w:pStyle w:val="3"/>
        <w:rPr>
          <w:rFonts w:cstheme="minorHAnsi"/>
        </w:rPr>
      </w:pPr>
      <w:bookmarkStart w:id="37" w:name="_Toc119659800"/>
      <w:bookmarkStart w:id="38" w:name="_Toc101186360"/>
      <w:r>
        <w:rPr>
          <w:rFonts w:cstheme="minorHAnsi"/>
        </w:rPr>
        <w:t>（一）资源台账系统建设</w:t>
      </w:r>
      <w:bookmarkEnd w:id="37"/>
      <w:bookmarkEnd w:id="38"/>
    </w:p>
    <w:p>
      <w:pPr>
        <w:pStyle w:val="4"/>
        <w:rPr>
          <w:rFonts w:cstheme="minorHAnsi"/>
        </w:rPr>
      </w:pPr>
      <w:r>
        <w:rPr>
          <w:rFonts w:cstheme="minorHAnsi"/>
        </w:rPr>
        <w:t>1．农作物秸秆资源台账提升</w:t>
      </w:r>
    </w:p>
    <w:p>
      <w:pPr>
        <w:widowControl/>
        <w:ind w:firstLine="562" w:firstLineChars="200"/>
        <w:rPr>
          <w:rFonts w:asciiTheme="minorHAnsi" w:hAnsiTheme="minorHAnsi" w:cstheme="minorHAnsi"/>
        </w:rPr>
      </w:pPr>
      <w:r>
        <w:rPr>
          <w:rFonts w:hint="eastAsia" w:asciiTheme="minorHAnsi" w:hAnsiTheme="minorHAnsi" w:cstheme="minorHAnsi"/>
          <w:b/>
          <w:bCs/>
        </w:rPr>
        <w:t>支持</w:t>
      </w:r>
      <w:r>
        <w:rPr>
          <w:rFonts w:asciiTheme="minorHAnsi" w:hAnsiTheme="minorHAnsi" w:cstheme="minorHAnsi"/>
          <w:b/>
          <w:bCs/>
        </w:rPr>
        <w:t>内容：</w:t>
      </w:r>
      <w:r>
        <w:rPr>
          <w:rFonts w:asciiTheme="minorHAnsi" w:hAnsiTheme="minorHAnsi" w:cstheme="minorHAnsi"/>
        </w:rPr>
        <w:t>依托农业农村部农作物秸秆资源台账系统，完善全区秸秆资源台账，测算各涉农镇主要农作物秸秆的产生量、利用方式、利用量、综合利用率等，完善对接各乡镇政府部门、镇级农业废弃物综合处理站点和合作社、种植大户等新型农业经营主体的填报系统，为优化全区秸秆综合利用技术模式、推动农业农村减排固碳提供有效数据和基础支撑。</w:t>
      </w:r>
    </w:p>
    <w:p>
      <w:pPr>
        <w:pStyle w:val="4"/>
        <w:rPr>
          <w:rFonts w:cstheme="minorHAnsi"/>
        </w:rPr>
      </w:pPr>
      <w:r>
        <w:rPr>
          <w:rFonts w:cstheme="minorHAnsi"/>
        </w:rPr>
        <w:t>2．瓜秧尾菜资源台账建设</w:t>
      </w:r>
    </w:p>
    <w:p>
      <w:pPr>
        <w:widowControl/>
        <w:ind w:firstLine="562" w:firstLineChars="200"/>
        <w:rPr>
          <w:rFonts w:asciiTheme="minorHAnsi" w:hAnsiTheme="minorHAnsi" w:cstheme="minorHAnsi"/>
        </w:rPr>
      </w:pPr>
      <w:r>
        <w:rPr>
          <w:rFonts w:hint="eastAsia" w:asciiTheme="minorHAnsi" w:hAnsiTheme="minorHAnsi" w:cstheme="minorHAnsi"/>
          <w:b/>
          <w:bCs/>
        </w:rPr>
        <w:t>支持</w:t>
      </w:r>
      <w:r>
        <w:rPr>
          <w:rFonts w:asciiTheme="minorHAnsi" w:hAnsiTheme="minorHAnsi" w:cstheme="minorHAnsi"/>
          <w:b/>
          <w:bCs/>
        </w:rPr>
        <w:t>内容</w:t>
      </w:r>
      <w:r>
        <w:rPr>
          <w:rFonts w:asciiTheme="minorHAnsi" w:hAnsiTheme="minorHAnsi" w:cstheme="minorHAnsi"/>
        </w:rPr>
        <w:t>：根据大兴区西甜瓜、蔬菜种植情况，结合市级瓜秧尾菜资源台账测算指南，</w:t>
      </w:r>
      <w:r>
        <w:rPr>
          <w:rFonts w:hint="eastAsia" w:asciiTheme="minorHAnsi" w:hAnsiTheme="minorHAnsi" w:cstheme="minorHAnsi"/>
        </w:rPr>
        <w:t>探索</w:t>
      </w:r>
      <w:r>
        <w:rPr>
          <w:rFonts w:asciiTheme="minorHAnsi" w:hAnsiTheme="minorHAnsi" w:cstheme="minorHAnsi"/>
        </w:rPr>
        <w:t>测算主要瓜类、蔬菜品种的废弃物产生系数，摸清全区及重点乡镇瓜秧尾菜产生与收运情况、“五料化”利用情况等底数，测算全区瓜秧尾菜综合利用率，分析评价瓜秧尾菜资源化利用情况，为大兴区设置收储运站点、制定综合利用补贴政策及考核评价提供依据。</w:t>
      </w:r>
    </w:p>
    <w:p>
      <w:pPr>
        <w:pStyle w:val="3"/>
        <w:rPr>
          <w:rFonts w:cstheme="minorHAnsi"/>
        </w:rPr>
      </w:pPr>
      <w:bookmarkStart w:id="39" w:name="_Toc101974874"/>
      <w:bookmarkEnd w:id="39"/>
      <w:bookmarkStart w:id="40" w:name="_Toc101974875"/>
      <w:bookmarkEnd w:id="40"/>
      <w:bookmarkStart w:id="41" w:name="_Toc101974873"/>
      <w:bookmarkEnd w:id="41"/>
      <w:bookmarkStart w:id="42" w:name="_Toc101186361"/>
      <w:bookmarkStart w:id="43" w:name="_Toc119659801"/>
      <w:r>
        <w:rPr>
          <w:rFonts w:cstheme="minorHAnsi"/>
        </w:rPr>
        <w:t>（二）收储运服务体系建设</w:t>
      </w:r>
      <w:bookmarkEnd w:id="42"/>
      <w:bookmarkEnd w:id="43"/>
    </w:p>
    <w:p>
      <w:pPr>
        <w:pStyle w:val="4"/>
        <w:rPr>
          <w:rFonts w:cstheme="minorHAnsi"/>
        </w:rPr>
      </w:pPr>
      <w:r>
        <w:rPr>
          <w:rFonts w:cstheme="minorHAnsi"/>
        </w:rPr>
        <w:t>1．第三方收储服务站点提升</w:t>
      </w:r>
    </w:p>
    <w:p>
      <w:pPr>
        <w:widowControl/>
        <w:ind w:firstLine="562" w:firstLineChars="200"/>
        <w:rPr>
          <w:rFonts w:asciiTheme="minorHAnsi" w:hAnsiTheme="minorHAnsi" w:cstheme="minorHAnsi"/>
          <w:bCs/>
          <w:kern w:val="0"/>
          <w:szCs w:val="30"/>
        </w:rPr>
      </w:pPr>
      <w:r>
        <w:rPr>
          <w:rFonts w:hint="eastAsia" w:asciiTheme="minorHAnsi" w:hAnsiTheme="minorHAnsi" w:cstheme="minorHAnsi"/>
          <w:b/>
        </w:rPr>
        <w:t>支持</w:t>
      </w:r>
      <w:r>
        <w:rPr>
          <w:rFonts w:asciiTheme="minorHAnsi" w:hAnsiTheme="minorHAnsi" w:cstheme="minorHAnsi"/>
          <w:b/>
        </w:rPr>
        <w:t>内容：</w:t>
      </w:r>
      <w:r>
        <w:rPr>
          <w:rFonts w:asciiTheme="minorHAnsi" w:hAnsiTheme="minorHAnsi" w:cstheme="minorHAnsi"/>
          <w:kern w:val="0"/>
          <w:szCs w:val="21"/>
        </w:rPr>
        <w:t>依托农业环境物业公司、农业技术服务专业合作社等经营主体，利用其运作相对灵活的特点，对周边的秸秆、蔬菜尾菜、瓜果藤蔓、果树枝条、厨余垃圾等废弃物进行收集处理。支持已建站点收储运能力提升，包括改造原料存贮场、粉碎处理场、成品堆放区等，加强地面硬化和防雨雪设施，完善消防措施；支持购置新型秸秆粉碎机、抓草机、烘干机、叉车、打包机等机械设备；</w:t>
      </w:r>
      <w:r>
        <w:rPr>
          <w:rFonts w:asciiTheme="minorHAnsi" w:hAnsiTheme="minorHAnsi" w:cstheme="minorHAnsi"/>
          <w:bCs/>
          <w:kern w:val="0"/>
          <w:szCs w:val="30"/>
        </w:rPr>
        <w:t>支持尾菜收储运场所、尾菜暂存池建设，以及采用简单易操作的纳米膜覆盖堆肥法处理。支持配套粉碎处理机等预处理设备，以及铲车、小型收集车等设施设备购置。</w:t>
      </w:r>
    </w:p>
    <w:p>
      <w:pPr>
        <w:pStyle w:val="3"/>
        <w:rPr>
          <w:rFonts w:cstheme="minorHAnsi"/>
        </w:rPr>
      </w:pPr>
      <w:bookmarkStart w:id="44" w:name="_Toc101186362"/>
      <w:bookmarkStart w:id="45" w:name="_Toc119659802"/>
      <w:bookmarkStart w:id="46" w:name="_Hlk101972883"/>
      <w:r>
        <w:rPr>
          <w:rFonts w:cstheme="minorHAnsi"/>
        </w:rPr>
        <w:t>（三）秸秆科学还田固碳增汇</w:t>
      </w:r>
      <w:bookmarkEnd w:id="44"/>
      <w:bookmarkEnd w:id="45"/>
    </w:p>
    <w:p>
      <w:pPr>
        <w:pStyle w:val="4"/>
        <w:rPr>
          <w:rFonts w:cstheme="minorHAnsi"/>
        </w:rPr>
      </w:pPr>
      <w:r>
        <w:rPr>
          <w:rFonts w:cstheme="minorHAnsi"/>
        </w:rPr>
        <w:t>1．智能化秸秆还田农机推广</w:t>
      </w:r>
    </w:p>
    <w:p>
      <w:pPr>
        <w:widowControl/>
        <w:ind w:firstLine="562" w:firstLineChars="200"/>
        <w:rPr>
          <w:rFonts w:asciiTheme="minorHAnsi" w:hAnsiTheme="minorHAnsi" w:cstheme="minorHAnsi"/>
        </w:rPr>
      </w:pPr>
      <w:r>
        <w:rPr>
          <w:rFonts w:hint="eastAsia" w:asciiTheme="minorHAnsi" w:hAnsiTheme="minorHAnsi" w:cstheme="minorHAnsi"/>
          <w:b/>
          <w:bCs/>
        </w:rPr>
        <w:t>支持</w:t>
      </w:r>
      <w:r>
        <w:rPr>
          <w:rFonts w:asciiTheme="minorHAnsi" w:hAnsiTheme="minorHAnsi" w:cstheme="minorHAnsi"/>
          <w:b/>
          <w:bCs/>
        </w:rPr>
        <w:t>内容：</w:t>
      </w:r>
      <w:r>
        <w:rPr>
          <w:rFonts w:asciiTheme="minorHAnsi" w:hAnsiTheme="minorHAnsi" w:cstheme="minorHAnsi"/>
        </w:rPr>
        <w:t>优化全区农机装备结构，推动农机升级换代和节能减排，加快大数据、物联网、智能控制、卫星遥感、北斗导航等信息化技术在秸秆还田机械化作业中的推广应用，依托种植专业合作社、农机专业合作社等新型经营主体，更新购置搭载北斗卫星系统和智能作业终端的大中型拖拉机、秸秆粉碎还田机、免耕播种机、翻转犁、旋耕机、收获机等先进农机具并实施农机减排装置加装工作，使农机尾气达到国家排放标准。同步推进“互联网+农机作业”，加快推广应用农机作业实时监测、维修诊断、跨区作业、远程调度等信息化服务，实现数据信息互联共享，提高农机作业质量与效率。</w:t>
      </w:r>
    </w:p>
    <w:p>
      <w:pPr>
        <w:pStyle w:val="4"/>
        <w:rPr>
          <w:rFonts w:cstheme="minorHAnsi"/>
        </w:rPr>
      </w:pPr>
      <w:r>
        <w:rPr>
          <w:rFonts w:cstheme="minorHAnsi"/>
        </w:rPr>
        <w:t>2．秸秆还田生态效益监测</w:t>
      </w:r>
    </w:p>
    <w:p>
      <w:pPr>
        <w:widowControl/>
        <w:ind w:firstLine="562" w:firstLineChars="200"/>
        <w:rPr>
          <w:rFonts w:asciiTheme="minorHAnsi" w:hAnsiTheme="minorHAnsi" w:cstheme="minorHAnsi"/>
        </w:rPr>
      </w:pPr>
      <w:r>
        <w:rPr>
          <w:rFonts w:hint="eastAsia" w:asciiTheme="minorHAnsi" w:hAnsiTheme="minorHAnsi" w:cstheme="minorHAnsi"/>
          <w:b/>
          <w:bCs/>
        </w:rPr>
        <w:t>支持</w:t>
      </w:r>
      <w:r>
        <w:rPr>
          <w:rFonts w:asciiTheme="minorHAnsi" w:hAnsiTheme="minorHAnsi" w:cstheme="minorHAnsi"/>
          <w:b/>
          <w:bCs/>
        </w:rPr>
        <w:t>内容：</w:t>
      </w:r>
      <w:r>
        <w:rPr>
          <w:rFonts w:asciiTheme="minorHAnsi" w:hAnsiTheme="minorHAnsi" w:cstheme="minorHAnsi"/>
        </w:rPr>
        <w:t>依托植保、土肥、农机推广等技术服务部门，</w:t>
      </w:r>
      <w:r>
        <w:rPr>
          <w:rFonts w:hint="eastAsia" w:asciiTheme="minorHAnsi" w:hAnsiTheme="minorHAnsi" w:cstheme="minorHAnsi"/>
        </w:rPr>
        <w:t>开展</w:t>
      </w:r>
      <w:r>
        <w:rPr>
          <w:rFonts w:asciiTheme="minorHAnsi" w:hAnsiTheme="minorHAnsi" w:cstheme="minorHAnsi"/>
        </w:rPr>
        <w:t>秸秆还田智能监测，配套病虫害自动监控设备、土壤墒情自动监测设备、小型自动气候站、耕地地力检测设备等，持续开展温室气体排放量、土壤有机碳含量、农业气象灾情、病虫害、农作物生长状况、化肥减施等主要数据监测，重点对秸秆还田在耕地地力提升、作物增产、化肥减施增效等方面的成效进行综合评价，为全区及北京市农业绿色发展提供数据支撑。</w:t>
      </w:r>
    </w:p>
    <w:p>
      <w:pPr>
        <w:pStyle w:val="4"/>
        <w:rPr>
          <w:rFonts w:cstheme="minorHAnsi"/>
        </w:rPr>
      </w:pPr>
      <w:r>
        <w:rPr>
          <w:rFonts w:cstheme="minorHAnsi"/>
        </w:rPr>
        <w:t>3．秸秆科学还田技术示范</w:t>
      </w:r>
    </w:p>
    <w:p>
      <w:pPr>
        <w:widowControl/>
        <w:ind w:firstLine="562" w:firstLineChars="200"/>
        <w:rPr>
          <w:rFonts w:asciiTheme="minorHAnsi" w:hAnsiTheme="minorHAnsi" w:cstheme="minorHAnsi"/>
        </w:rPr>
      </w:pPr>
      <w:r>
        <w:rPr>
          <w:rFonts w:hint="eastAsia" w:asciiTheme="minorHAnsi" w:hAnsiTheme="minorHAnsi" w:cstheme="minorHAnsi"/>
          <w:b/>
          <w:bCs/>
        </w:rPr>
        <w:t>支持</w:t>
      </w:r>
      <w:r>
        <w:rPr>
          <w:rFonts w:asciiTheme="minorHAnsi" w:hAnsiTheme="minorHAnsi" w:cstheme="minorHAnsi"/>
          <w:b/>
          <w:bCs/>
        </w:rPr>
        <w:t>内容：</w:t>
      </w:r>
      <w:r>
        <w:rPr>
          <w:rFonts w:asciiTheme="minorHAnsi" w:hAnsiTheme="minorHAnsi" w:cstheme="minorHAnsi"/>
        </w:rPr>
        <w:t>依托大兴区种植专业合作社、农机专业合作社等新型经营主体，更新购置搭载北斗卫星系统和智能作业终端的大中型拖拉机、秸秆粉碎还田机、免耕播种机、翻转犁、旋耕机、收获机等先进农机具，示范推广“机械化粉碎+增施氮肥+深翻还田”和“秸秆全量覆盖+精准免（少）耕播种”等科学还田技术模式，促进农民增收、环境保护、资源节约及农业经济可持续发展，建立秸秆科学还田示范</w:t>
      </w:r>
      <w:r>
        <w:rPr>
          <w:rFonts w:hint="eastAsia" w:asciiTheme="minorHAnsi" w:hAnsiTheme="minorHAnsi" w:cstheme="minorHAnsi"/>
          <w:lang w:eastAsia="zh-CN"/>
        </w:rPr>
        <w:t>基地</w:t>
      </w:r>
      <w:r>
        <w:rPr>
          <w:rFonts w:asciiTheme="minorHAnsi" w:hAnsiTheme="minorHAnsi" w:cstheme="minorHAnsi"/>
        </w:rPr>
        <w:t>，示范带动全区农作物秸秆科学还田。</w:t>
      </w:r>
    </w:p>
    <w:tbl>
      <w:tblPr>
        <w:tblStyle w:val="1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tcPr>
          <w:p>
            <w:pPr>
              <w:widowControl/>
              <w:spacing w:before="156" w:beforeLines="50" w:after="156" w:afterLines="50"/>
              <w:jc w:val="center"/>
              <w:rPr>
                <w:rFonts w:eastAsia="黑体" w:asciiTheme="minorHAnsi" w:hAnsiTheme="minorHAnsi" w:cstheme="minorHAnsi"/>
                <w:kern w:val="0"/>
                <w:sz w:val="24"/>
                <w:szCs w:val="24"/>
              </w:rPr>
            </w:pPr>
            <w:r>
              <w:rPr>
                <w:rFonts w:eastAsia="黑体" w:asciiTheme="minorHAnsi" w:hAnsiTheme="minorHAnsi" w:cstheme="minorHAnsi"/>
                <w:kern w:val="0"/>
                <w:sz w:val="24"/>
                <w:szCs w:val="24"/>
              </w:rPr>
              <w:t>专栏一：典型技术模式——秸秆粉碎还田技术</w:t>
            </w:r>
          </w:p>
          <w:p>
            <w:pPr>
              <w:pStyle w:val="41"/>
              <w:widowControl/>
              <w:spacing w:line="360" w:lineRule="auto"/>
              <w:rPr>
                <w:rFonts w:asciiTheme="minorHAnsi" w:hAnsiTheme="minorHAnsi" w:cstheme="minorHAnsi"/>
              </w:rPr>
            </w:pPr>
            <w:r>
              <w:rPr>
                <w:rFonts w:asciiTheme="minorHAnsi" w:hAnsiTheme="minorHAnsi" w:cstheme="minorHAnsi"/>
              </w:rPr>
              <w:t>【技术原理与特点】</w:t>
            </w:r>
          </w:p>
          <w:p>
            <w:pPr>
              <w:pStyle w:val="41"/>
              <w:widowControl/>
              <w:spacing w:line="360" w:lineRule="auto"/>
              <w:rPr>
                <w:rFonts w:asciiTheme="minorHAnsi" w:hAnsiTheme="minorHAnsi" w:cstheme="minorHAnsi"/>
              </w:rPr>
            </w:pPr>
            <w:r>
              <w:rPr>
                <w:rFonts w:asciiTheme="minorHAnsi" w:hAnsiTheme="minorHAnsi" w:cstheme="minorHAnsi"/>
              </w:rPr>
              <w:t>该技术模式是利用拖拉机牵引犁具将粉碎后抛撒在耕地表面的秸秆翻埋到耕作层以下，用耙将土壤耙平，秸秆在耕层以下腐解，从而实现培肥地力、提高农作物产量。具有机械化程度高、增加土壤通气孔隙、快速提高土壤有机质及养分等特点，可使土壤有机质含量提高0.15%-0.20%，粮食增产10%-25%，与传统秸秆还田方式相比，功效提高50-120倍。</w:t>
            </w:r>
          </w:p>
          <w:p>
            <w:pPr>
              <w:pStyle w:val="41"/>
              <w:widowControl/>
              <w:spacing w:line="360" w:lineRule="auto"/>
              <w:rPr>
                <w:rFonts w:asciiTheme="minorHAnsi" w:hAnsiTheme="minorHAnsi" w:cstheme="minorHAnsi"/>
              </w:rPr>
            </w:pPr>
            <w:r>
              <w:rPr>
                <w:rFonts w:asciiTheme="minorHAnsi" w:hAnsiTheme="minorHAnsi" w:cstheme="minorHAnsi"/>
              </w:rPr>
              <w:t>【技术流程】</w:t>
            </w:r>
          </w:p>
          <w:p>
            <w:pPr>
              <w:pStyle w:val="41"/>
              <w:widowControl/>
              <w:spacing w:line="360" w:lineRule="auto"/>
              <w:rPr>
                <w:rFonts w:asciiTheme="minorHAnsi" w:hAnsiTheme="minorHAnsi" w:cstheme="minorHAnsi"/>
              </w:rPr>
            </w:pPr>
            <w:r>
              <w:rPr>
                <w:rFonts w:asciiTheme="minorHAnsi" w:hAnsiTheme="minorHAnsi" w:cstheme="minorHAnsi"/>
              </w:rPr>
              <w:t>该技术模式的主要环节包括秸秆粉碎、增施氮肥、秸秆深翻、平整土地、作物种植等。</w:t>
            </w:r>
          </w:p>
          <w:p>
            <w:pPr>
              <w:pStyle w:val="32"/>
              <w:widowControl/>
              <w:spacing w:line="360" w:lineRule="auto"/>
              <w:rPr>
                <w:rFonts w:asciiTheme="minorHAnsi" w:hAnsiTheme="minorHAnsi" w:cstheme="minorHAnsi"/>
                <w:sz w:val="22"/>
                <w:szCs w:val="20"/>
              </w:rPr>
            </w:pPr>
            <w:r>
              <w:rPr>
                <w:rFonts w:asciiTheme="minorHAnsi" w:hAnsiTheme="minorHAnsi" w:cstheme="minorHAnsi"/>
                <w:szCs w:val="28"/>
              </w:rPr>
              <w:drawing>
                <wp:inline distT="0" distB="0" distL="0" distR="0">
                  <wp:extent cx="4244975" cy="1707515"/>
                  <wp:effectExtent l="0" t="0" r="3175" b="698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05740" cy="1732287"/>
                          </a:xfrm>
                          <a:prstGeom prst="rect">
                            <a:avLst/>
                          </a:prstGeom>
                        </pic:spPr>
                      </pic:pic>
                    </a:graphicData>
                  </a:graphic>
                </wp:inline>
              </w:drawing>
            </w:r>
          </w:p>
          <w:p>
            <w:pPr>
              <w:pStyle w:val="32"/>
              <w:widowControl/>
              <w:spacing w:line="360" w:lineRule="auto"/>
              <w:rPr>
                <w:rFonts w:asciiTheme="minorHAnsi" w:hAnsiTheme="minorHAnsi" w:cstheme="minorHAnsi"/>
                <w:sz w:val="22"/>
                <w:szCs w:val="20"/>
              </w:rPr>
            </w:pPr>
            <w:r>
              <w:rPr>
                <w:rFonts w:asciiTheme="minorHAnsi" w:hAnsiTheme="minorHAnsi" w:cstheme="minorHAnsi"/>
                <w:sz w:val="22"/>
                <w:szCs w:val="20"/>
              </w:rPr>
              <w:t>图Z1 秸秆粉碎还田技术流程</w:t>
            </w:r>
          </w:p>
          <w:p>
            <w:pPr>
              <w:pStyle w:val="41"/>
              <w:widowControl/>
              <w:spacing w:line="360" w:lineRule="auto"/>
              <w:rPr>
                <w:rFonts w:asciiTheme="minorHAnsi" w:hAnsiTheme="minorHAnsi" w:cstheme="minorHAnsi"/>
              </w:rPr>
            </w:pPr>
            <w:r>
              <w:rPr>
                <w:rFonts w:asciiTheme="minorHAnsi" w:hAnsiTheme="minorHAnsi" w:cstheme="minorHAnsi"/>
              </w:rPr>
              <w:t>【技术要点】</w:t>
            </w:r>
          </w:p>
          <w:p>
            <w:pPr>
              <w:pStyle w:val="41"/>
              <w:widowControl/>
              <w:spacing w:line="360" w:lineRule="auto"/>
              <w:rPr>
                <w:rFonts w:asciiTheme="minorHAnsi" w:hAnsiTheme="minorHAnsi" w:cstheme="minorHAnsi"/>
              </w:rPr>
            </w:pPr>
            <w:r>
              <w:rPr>
                <w:rFonts w:asciiTheme="minorHAnsi" w:hAnsiTheme="minorHAnsi" w:cstheme="minorHAnsi"/>
              </w:rPr>
              <w:t>1. 秸秆粉碎：需在玉米秸秆呈绿色、含水量30%以上时进行秸秆粉碎，且秸秆切碎的长度不宜超过10mm；</w:t>
            </w:r>
          </w:p>
          <w:p>
            <w:pPr>
              <w:pStyle w:val="41"/>
              <w:widowControl/>
              <w:spacing w:line="360" w:lineRule="auto"/>
              <w:rPr>
                <w:rFonts w:asciiTheme="minorHAnsi" w:hAnsiTheme="minorHAnsi" w:cstheme="minorHAnsi"/>
              </w:rPr>
            </w:pPr>
            <w:r>
              <w:rPr>
                <w:rFonts w:asciiTheme="minorHAnsi" w:hAnsiTheme="minorHAnsi" w:cstheme="minorHAnsi"/>
              </w:rPr>
              <w:t>2. 秸秆深翻：施耕或耙地灭茬时，使秸秆均匀分布于0-10cm的土层中；灭茬后的深耕，耕深不应小</w:t>
            </w:r>
            <w:r>
              <w:rPr>
                <w:rFonts w:hint="eastAsia" w:asciiTheme="minorHAnsi" w:hAnsiTheme="minorHAnsi" w:cstheme="minorHAnsi"/>
              </w:rPr>
              <w:t>于</w:t>
            </w:r>
            <w:r>
              <w:rPr>
                <w:rFonts w:asciiTheme="minorHAnsi" w:hAnsiTheme="minorHAnsi" w:cstheme="minorHAnsi"/>
              </w:rPr>
              <w:t>25cm；</w:t>
            </w:r>
          </w:p>
          <w:p>
            <w:pPr>
              <w:pStyle w:val="41"/>
              <w:widowControl/>
              <w:spacing w:line="360" w:lineRule="auto"/>
              <w:rPr>
                <w:rFonts w:asciiTheme="minorHAnsi" w:hAnsiTheme="minorHAnsi" w:cstheme="minorHAnsi"/>
              </w:rPr>
            </w:pPr>
            <w:r>
              <w:rPr>
                <w:rFonts w:asciiTheme="minorHAnsi" w:hAnsiTheme="minorHAnsi" w:cstheme="minorHAnsi"/>
              </w:rPr>
              <w:t>3. 平整土地：整地时需进行深耕和镇压，以消除明暗坷垃以及秸秆架空现象，达到土碎地平，上虚下实；</w:t>
            </w:r>
          </w:p>
          <w:p>
            <w:pPr>
              <w:pStyle w:val="41"/>
              <w:widowControl/>
              <w:spacing w:line="360" w:lineRule="auto"/>
              <w:rPr>
                <w:rFonts w:asciiTheme="minorHAnsi" w:hAnsiTheme="minorHAnsi" w:cstheme="minorHAnsi"/>
              </w:rPr>
            </w:pPr>
            <w:r>
              <w:rPr>
                <w:rFonts w:asciiTheme="minorHAnsi" w:hAnsiTheme="minorHAnsi" w:cstheme="minorHAnsi"/>
              </w:rPr>
              <w:t>4. 注意事项：病虫害严重或具有连作障碍的大豆秸秆等应收集离田，妥善处置，不宜直接还田。</w:t>
            </w:r>
          </w:p>
        </w:tc>
      </w:tr>
    </w:tbl>
    <w:p>
      <w:pPr>
        <w:pStyle w:val="3"/>
        <w:rPr>
          <w:rFonts w:cstheme="minorHAnsi"/>
        </w:rPr>
      </w:pPr>
      <w:bookmarkStart w:id="47" w:name="_Toc119659803"/>
      <w:r>
        <w:rPr>
          <w:rFonts w:cstheme="minorHAnsi"/>
        </w:rPr>
        <w:t>（四）秸秆肥料化利用减污降碳</w:t>
      </w:r>
      <w:bookmarkEnd w:id="47"/>
    </w:p>
    <w:p>
      <w:pPr>
        <w:pStyle w:val="4"/>
        <w:rPr>
          <w:rFonts w:cstheme="minorHAnsi"/>
        </w:rPr>
      </w:pPr>
      <w:r>
        <w:rPr>
          <w:rFonts w:cstheme="minorHAnsi"/>
        </w:rPr>
        <w:t>1．有机肥加工</w:t>
      </w:r>
    </w:p>
    <w:p>
      <w:pPr>
        <w:widowControl/>
        <w:ind w:firstLine="562" w:firstLineChars="200"/>
        <w:rPr>
          <w:rFonts w:asciiTheme="minorHAnsi" w:hAnsiTheme="minorHAnsi" w:cstheme="minorHAnsi"/>
          <w:bCs/>
          <w:kern w:val="0"/>
          <w:szCs w:val="28"/>
        </w:rPr>
      </w:pPr>
      <w:r>
        <w:rPr>
          <w:rFonts w:hint="eastAsia" w:asciiTheme="minorHAnsi" w:hAnsiTheme="minorHAnsi" w:cstheme="minorHAnsi"/>
          <w:b/>
          <w:bCs/>
        </w:rPr>
        <w:t>支持</w:t>
      </w:r>
      <w:r>
        <w:rPr>
          <w:rFonts w:asciiTheme="minorHAnsi" w:hAnsiTheme="minorHAnsi" w:cstheme="minorHAnsi"/>
          <w:b/>
          <w:bCs/>
        </w:rPr>
        <w:t>内容：</w:t>
      </w:r>
      <w:r>
        <w:rPr>
          <w:rFonts w:hint="eastAsia" w:asciiTheme="minorHAnsi" w:hAnsiTheme="minorHAnsi" w:cstheme="minorHAnsi"/>
        </w:rPr>
        <w:t>支持</w:t>
      </w:r>
      <w:r>
        <w:rPr>
          <w:rFonts w:asciiTheme="minorHAnsi" w:hAnsiTheme="minorHAnsi" w:cstheme="minorHAnsi"/>
        </w:rPr>
        <w:t>改造提升农业废弃物综合利用站点，</w:t>
      </w:r>
      <w:r>
        <w:rPr>
          <w:rFonts w:asciiTheme="minorHAnsi" w:hAnsiTheme="minorHAnsi" w:cstheme="minorHAnsi"/>
          <w:szCs w:val="28"/>
        </w:rPr>
        <w:t>并配套还田施肥机械。采用农业废弃物发酵制备有机肥技术，探索“秸秆+畜禽粪污（牛粪、羊粪等）”“瓜秧尾菜+畜禽粪污（牛粪、羊粪等）”等原料混合生产技术；</w:t>
      </w:r>
      <w:r>
        <w:rPr>
          <w:rFonts w:asciiTheme="minorHAnsi" w:hAnsiTheme="minorHAnsi" w:cstheme="minorHAnsi"/>
          <w:bCs/>
          <w:kern w:val="0"/>
          <w:szCs w:val="28"/>
        </w:rPr>
        <w:t>支持有机肥工厂化设备购置、生物菌种引进、技术创新、场地建设，推广工厂化秸秆综合腐熟技术、生物有机肥料生产技术。</w:t>
      </w:r>
    </w:p>
    <w:tbl>
      <w:tblPr>
        <w:tblStyle w:val="1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tcPr>
          <w:p>
            <w:pPr>
              <w:widowControl/>
              <w:jc w:val="center"/>
              <w:rPr>
                <w:rFonts w:eastAsia="黑体" w:asciiTheme="minorHAnsi" w:hAnsiTheme="minorHAnsi" w:cstheme="minorHAnsi"/>
                <w:kern w:val="0"/>
                <w:sz w:val="24"/>
                <w:szCs w:val="24"/>
              </w:rPr>
            </w:pPr>
            <w:r>
              <w:rPr>
                <w:rFonts w:eastAsia="黑体" w:asciiTheme="minorHAnsi" w:hAnsiTheme="minorHAnsi" w:cstheme="minorHAnsi"/>
                <w:kern w:val="0"/>
                <w:sz w:val="24"/>
                <w:szCs w:val="24"/>
              </w:rPr>
              <w:t>专栏二：典型技术模式——秸秆、瓜秧尾菜有机肥加工技术</w:t>
            </w:r>
          </w:p>
          <w:p>
            <w:pPr>
              <w:pStyle w:val="41"/>
              <w:widowControl/>
              <w:spacing w:line="360" w:lineRule="auto"/>
              <w:rPr>
                <w:rFonts w:asciiTheme="minorHAnsi" w:hAnsiTheme="minorHAnsi" w:cstheme="minorHAnsi"/>
              </w:rPr>
            </w:pPr>
            <w:r>
              <w:rPr>
                <w:rFonts w:asciiTheme="minorHAnsi" w:hAnsiTheme="minorHAnsi" w:cstheme="minorHAnsi"/>
              </w:rPr>
              <w:t>【技术原理与特点】</w:t>
            </w:r>
          </w:p>
          <w:p>
            <w:pPr>
              <w:pStyle w:val="41"/>
              <w:widowControl/>
              <w:spacing w:line="360" w:lineRule="auto"/>
              <w:rPr>
                <w:rFonts w:asciiTheme="minorHAnsi" w:hAnsiTheme="minorHAnsi" w:cstheme="minorHAnsi"/>
              </w:rPr>
            </w:pPr>
            <w:r>
              <w:rPr>
                <w:rFonts w:asciiTheme="minorHAnsi" w:hAnsiTheme="minorHAnsi" w:cstheme="minorHAnsi"/>
              </w:rPr>
              <w:t>本技术以作物秸秆、尾菜瓜秧、畜禽粪污等农业废弃物为原料，按照一定比例混合后联合堆肥，通过“复合腐熟菌剂+翻倒好氧发酵”技术，在好氧条件下，利用微生物降解有机废弃物，生产生物有机肥料，用来种植玉米、小麦、果蔬等农作物。</w:t>
            </w:r>
          </w:p>
          <w:p>
            <w:pPr>
              <w:pStyle w:val="41"/>
              <w:widowControl/>
              <w:spacing w:line="360" w:lineRule="auto"/>
              <w:rPr>
                <w:rFonts w:asciiTheme="minorHAnsi" w:hAnsiTheme="minorHAnsi" w:cstheme="minorHAnsi"/>
              </w:rPr>
            </w:pPr>
            <w:r>
              <w:rPr>
                <w:rFonts w:asciiTheme="minorHAnsi" w:hAnsiTheme="minorHAnsi" w:cstheme="minorHAnsi"/>
              </w:rPr>
              <w:t>【技术流程】</w:t>
            </w:r>
          </w:p>
          <w:p>
            <w:pPr>
              <w:pStyle w:val="41"/>
              <w:widowControl/>
              <w:spacing w:line="360" w:lineRule="auto"/>
              <w:rPr>
                <w:rFonts w:asciiTheme="minorHAnsi" w:hAnsiTheme="minorHAnsi" w:cstheme="minorHAnsi"/>
              </w:rPr>
            </w:pPr>
            <w:r>
              <w:rPr>
                <w:rFonts w:asciiTheme="minorHAnsi" w:hAnsiTheme="minorHAnsi" w:cstheme="minorHAnsi"/>
              </w:rPr>
              <w:t>该技术主要环节包括废弃物预处理、物料混配、槽式发酵、机械化翻堆、陈化、筛分和包装。如图Z2所示。</w:t>
            </w:r>
          </w:p>
          <w:p>
            <w:pPr>
              <w:widowControl/>
              <w:spacing w:line="240" w:lineRule="auto"/>
              <w:jc w:val="center"/>
              <w:rPr>
                <w:rFonts w:asciiTheme="minorHAnsi" w:hAnsiTheme="minorHAnsi" w:cstheme="minorHAnsi"/>
              </w:rPr>
            </w:pPr>
            <w:r>
              <w:rPr>
                <w:rFonts w:asciiTheme="minorHAnsi" w:hAnsiTheme="minorHAnsi" w:cstheme="minorHAnsi"/>
                <w:szCs w:val="24"/>
              </w:rPr>
              <w:drawing>
                <wp:inline distT="0" distB="0" distL="114300" distR="114300">
                  <wp:extent cx="4558665" cy="1535430"/>
                  <wp:effectExtent l="0" t="0" r="0" b="7620"/>
                  <wp:docPr id="4" name="图片 4" descr="1652025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52025176(1)"/>
                          <pic:cNvPicPr>
                            <a:picLocks noChangeAspect="1"/>
                          </pic:cNvPicPr>
                        </pic:nvPicPr>
                        <pic:blipFill>
                          <a:blip r:embed="rId16"/>
                          <a:stretch>
                            <a:fillRect/>
                          </a:stretch>
                        </pic:blipFill>
                        <pic:spPr>
                          <a:xfrm>
                            <a:off x="0" y="0"/>
                            <a:ext cx="4574858" cy="1541311"/>
                          </a:xfrm>
                          <a:prstGeom prst="rect">
                            <a:avLst/>
                          </a:prstGeom>
                        </pic:spPr>
                      </pic:pic>
                    </a:graphicData>
                  </a:graphic>
                </wp:inline>
              </w:drawing>
            </w:r>
          </w:p>
          <w:p>
            <w:pPr>
              <w:pStyle w:val="32"/>
              <w:widowControl/>
              <w:spacing w:line="360" w:lineRule="auto"/>
              <w:rPr>
                <w:rFonts w:asciiTheme="minorHAnsi" w:hAnsiTheme="minorHAnsi" w:cstheme="minorHAnsi"/>
                <w:sz w:val="22"/>
                <w:szCs w:val="20"/>
              </w:rPr>
            </w:pPr>
            <w:r>
              <w:rPr>
                <w:rFonts w:asciiTheme="minorHAnsi" w:hAnsiTheme="minorHAnsi" w:cstheme="minorHAnsi"/>
                <w:sz w:val="22"/>
                <w:szCs w:val="20"/>
              </w:rPr>
              <w:t>图Z2 有机肥加工工艺流程</w:t>
            </w:r>
          </w:p>
          <w:p>
            <w:pPr>
              <w:pStyle w:val="41"/>
              <w:widowControl/>
              <w:spacing w:line="360" w:lineRule="auto"/>
              <w:rPr>
                <w:rFonts w:asciiTheme="minorHAnsi" w:hAnsiTheme="minorHAnsi" w:cstheme="minorHAnsi"/>
              </w:rPr>
            </w:pPr>
            <w:r>
              <w:rPr>
                <w:rFonts w:asciiTheme="minorHAnsi" w:hAnsiTheme="minorHAnsi" w:cstheme="minorHAnsi"/>
              </w:rPr>
              <w:t>废弃物预处理和物料混配：将作物秸秆、尾菜瓜秧等农业废弃物通过机器粉碎，添加对物料进行匀翻搅拌。</w:t>
            </w:r>
          </w:p>
          <w:p>
            <w:pPr>
              <w:pStyle w:val="41"/>
              <w:widowControl/>
              <w:spacing w:line="360" w:lineRule="auto"/>
              <w:ind w:firstLine="482"/>
              <w:rPr>
                <w:rFonts w:asciiTheme="minorHAnsi" w:hAnsiTheme="minorHAnsi" w:cstheme="minorHAnsi"/>
              </w:rPr>
            </w:pPr>
            <w:r>
              <w:rPr>
                <w:rFonts w:hint="eastAsia" w:asciiTheme="minorHAnsi" w:hAnsiTheme="minorHAnsi" w:cstheme="minorHAnsi"/>
                <w:b/>
                <w:bCs w:val="0"/>
              </w:rPr>
              <w:t>槽式发酵。</w:t>
            </w:r>
            <w:r>
              <w:rPr>
                <w:rFonts w:asciiTheme="minorHAnsi" w:hAnsiTheme="minorHAnsi" w:cstheme="minorHAnsi"/>
              </w:rPr>
              <w:t>通过入料皮带传动机将搅拌均匀的物料输送到发酵槽入料端，进行高温好氧发酵，定时通风充氧曝气。</w:t>
            </w:r>
          </w:p>
          <w:p>
            <w:pPr>
              <w:pStyle w:val="41"/>
              <w:widowControl/>
              <w:spacing w:line="360" w:lineRule="auto"/>
              <w:ind w:firstLine="482"/>
              <w:rPr>
                <w:rFonts w:asciiTheme="minorHAnsi" w:hAnsiTheme="minorHAnsi" w:cstheme="minorHAnsi"/>
              </w:rPr>
            </w:pPr>
            <w:r>
              <w:rPr>
                <w:rFonts w:hint="eastAsia" w:asciiTheme="minorHAnsi" w:hAnsiTheme="minorHAnsi" w:cstheme="minorHAnsi"/>
                <w:b/>
                <w:bCs w:val="0"/>
              </w:rPr>
              <w:t>机械化翻堆</w:t>
            </w:r>
            <w:r>
              <w:rPr>
                <w:rFonts w:hint="eastAsia" w:asciiTheme="minorHAnsi" w:hAnsiTheme="minorHAnsi" w:cstheme="minorHAnsi"/>
              </w:rPr>
              <w:t>。</w:t>
            </w:r>
            <w:r>
              <w:rPr>
                <w:rFonts w:asciiTheme="minorHAnsi" w:hAnsiTheme="minorHAnsi" w:cstheme="minorHAnsi"/>
              </w:rPr>
              <w:t>通过行走式自动翻混机将发酵槽内的物料进行半自动翻堆，实现物料混合、增氧，促进水分蒸发。</w:t>
            </w:r>
          </w:p>
          <w:p>
            <w:pPr>
              <w:pStyle w:val="41"/>
              <w:widowControl/>
              <w:spacing w:line="360" w:lineRule="auto"/>
              <w:ind w:firstLine="482"/>
              <w:rPr>
                <w:rFonts w:asciiTheme="minorHAnsi" w:hAnsiTheme="minorHAnsi" w:cstheme="minorHAnsi"/>
              </w:rPr>
            </w:pPr>
            <w:r>
              <w:rPr>
                <w:rFonts w:hint="eastAsia" w:asciiTheme="minorHAnsi" w:hAnsiTheme="minorHAnsi" w:cstheme="minorHAnsi"/>
                <w:b/>
                <w:bCs w:val="0"/>
              </w:rPr>
              <w:t>陈化</w:t>
            </w:r>
            <w:r>
              <w:rPr>
                <w:rFonts w:hint="eastAsia" w:asciiTheme="minorHAnsi" w:hAnsiTheme="minorHAnsi" w:cstheme="minorHAnsi"/>
              </w:rPr>
              <w:t>。</w:t>
            </w:r>
            <w:r>
              <w:rPr>
                <w:rFonts w:asciiTheme="minorHAnsi" w:hAnsiTheme="minorHAnsi" w:cstheme="minorHAnsi"/>
              </w:rPr>
              <w:t>废弃物腐熟完成后，通过翻堆晾晒或者烘干的方式，使水分降至30%以下。</w:t>
            </w:r>
          </w:p>
          <w:p>
            <w:pPr>
              <w:pStyle w:val="41"/>
              <w:widowControl/>
              <w:spacing w:line="360" w:lineRule="auto"/>
              <w:ind w:firstLine="482"/>
              <w:rPr>
                <w:rFonts w:asciiTheme="minorHAnsi" w:hAnsiTheme="minorHAnsi" w:cstheme="minorHAnsi"/>
              </w:rPr>
            </w:pPr>
            <w:r>
              <w:rPr>
                <w:rFonts w:hint="eastAsia" w:asciiTheme="minorHAnsi" w:hAnsiTheme="minorHAnsi" w:cstheme="minorHAnsi"/>
                <w:b/>
                <w:bCs w:val="0"/>
              </w:rPr>
              <w:t>成品。</w:t>
            </w:r>
            <w:r>
              <w:rPr>
                <w:rFonts w:asciiTheme="minorHAnsi" w:hAnsiTheme="minorHAnsi" w:cstheme="minorHAnsi"/>
              </w:rPr>
              <w:t>堆肥产物通过装载机或翻抛机运送至回料皮带传送机上，输送至筛分机，经过机器筛分、分级包装等步骤制成袋装商品生物有机肥。</w:t>
            </w:r>
          </w:p>
        </w:tc>
      </w:tr>
    </w:tbl>
    <w:p>
      <w:pPr>
        <w:pStyle w:val="4"/>
        <w:rPr>
          <w:rFonts w:cstheme="minorHAnsi"/>
        </w:rPr>
      </w:pPr>
      <w:r>
        <w:rPr>
          <w:rFonts w:cstheme="minorHAnsi"/>
        </w:rPr>
        <w:t>2．一体化</w:t>
      </w:r>
      <w:bookmarkStart w:id="48" w:name="_Hlk101706209"/>
      <w:r>
        <w:rPr>
          <w:rFonts w:cstheme="minorHAnsi"/>
        </w:rPr>
        <w:t>快速堆肥</w:t>
      </w:r>
    </w:p>
    <w:p>
      <w:pPr>
        <w:widowControl/>
        <w:ind w:firstLine="562" w:firstLineChars="200"/>
        <w:rPr>
          <w:rFonts w:asciiTheme="minorHAnsi" w:hAnsiTheme="minorHAnsi" w:cstheme="minorHAnsi"/>
        </w:rPr>
      </w:pPr>
      <w:r>
        <w:rPr>
          <w:rFonts w:hint="eastAsia" w:asciiTheme="minorHAnsi" w:hAnsiTheme="minorHAnsi" w:cstheme="minorHAnsi"/>
          <w:b/>
          <w:bCs/>
        </w:rPr>
        <w:t>支持</w:t>
      </w:r>
      <w:r>
        <w:rPr>
          <w:rFonts w:asciiTheme="minorHAnsi" w:hAnsiTheme="minorHAnsi" w:cstheme="minorHAnsi"/>
          <w:b/>
          <w:bCs/>
        </w:rPr>
        <w:t>内容：</w:t>
      </w:r>
      <w:bookmarkStart w:id="49" w:name="_Hlk101706219"/>
      <w:r>
        <w:rPr>
          <w:rFonts w:asciiTheme="minorHAnsi" w:hAnsiTheme="minorHAnsi" w:cstheme="minorHAnsi"/>
        </w:rPr>
        <w:t>依托</w:t>
      </w:r>
      <w:bookmarkEnd w:id="48"/>
      <w:bookmarkEnd w:id="49"/>
      <w:r>
        <w:rPr>
          <w:rFonts w:asciiTheme="minorHAnsi" w:hAnsiTheme="minorHAnsi" w:cstheme="minorHAnsi"/>
        </w:rPr>
        <w:t>礼贤、采育、长子营等镇级农业废弃物综合处理站点，以秸秆、瓜秧尾菜、果树枝条和畜禽粪污为原料，通过物料称重配比、添加生物菌剂等方式进行物料混配，经高温好氧发酵、二次发酵等工艺处理后制成有机肥料和土壤改良剂，配套一体化发酵处理机、圆筒筛选机、传送带、打包机、翻抛机、铲车等设施设备，采用高温发酵快速腐熟制备有机肥料、土壤改良剂等。</w:t>
      </w:r>
    </w:p>
    <w:p>
      <w:pPr>
        <w:widowControl/>
        <w:ind w:firstLine="560" w:firstLineChars="200"/>
        <w:rPr>
          <w:rFonts w:asciiTheme="minorHAnsi" w:hAnsiTheme="minorHAnsi" w:cstheme="minorHAnsi"/>
        </w:rPr>
      </w:pPr>
    </w:p>
    <w:tbl>
      <w:tblPr>
        <w:tblStyle w:val="1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tcPr>
          <w:p>
            <w:pPr>
              <w:widowControl/>
              <w:spacing w:before="156" w:beforeLines="50" w:after="156" w:afterLines="50"/>
              <w:jc w:val="center"/>
              <w:rPr>
                <w:rFonts w:eastAsia="黑体" w:asciiTheme="minorHAnsi" w:hAnsiTheme="minorHAnsi" w:cstheme="minorHAnsi"/>
                <w:kern w:val="0"/>
                <w:sz w:val="24"/>
                <w:szCs w:val="24"/>
              </w:rPr>
            </w:pPr>
            <w:r>
              <w:rPr>
                <w:rFonts w:eastAsia="黑体" w:asciiTheme="minorHAnsi" w:hAnsiTheme="minorHAnsi" w:cstheme="minorHAnsi"/>
                <w:kern w:val="0"/>
                <w:sz w:val="24"/>
                <w:szCs w:val="24"/>
              </w:rPr>
              <w:t>专栏三：典型技术模式——一体化快速腐熟加工有机肥料技术</w:t>
            </w:r>
          </w:p>
          <w:p>
            <w:pPr>
              <w:pStyle w:val="41"/>
              <w:widowControl/>
              <w:spacing w:line="360" w:lineRule="auto"/>
              <w:rPr>
                <w:rFonts w:asciiTheme="minorHAnsi" w:hAnsiTheme="minorHAnsi" w:cstheme="minorHAnsi"/>
              </w:rPr>
            </w:pPr>
            <w:r>
              <w:rPr>
                <w:rFonts w:asciiTheme="minorHAnsi" w:hAnsiTheme="minorHAnsi" w:cstheme="minorHAnsi"/>
              </w:rPr>
              <w:t>【技术原理与特点】</w:t>
            </w:r>
          </w:p>
          <w:p>
            <w:pPr>
              <w:pStyle w:val="41"/>
              <w:widowControl/>
              <w:spacing w:line="360" w:lineRule="auto"/>
              <w:rPr>
                <w:rFonts w:asciiTheme="minorHAnsi" w:hAnsiTheme="minorHAnsi" w:cstheme="minorHAnsi"/>
              </w:rPr>
            </w:pPr>
            <w:r>
              <w:rPr>
                <w:rFonts w:asciiTheme="minorHAnsi" w:hAnsiTheme="minorHAnsi" w:cstheme="minorHAnsi"/>
              </w:rPr>
              <w:t>本技术以作物秸秆、尾菜瓜秧、果树枝条等废弃物和畜禽粪污为原料，通过一定比例称重配比，采用高温好氧堆肥技术进行发酵，然后经过后熟处理，最后经粉碎筛选，制成商品有机肥。</w:t>
            </w:r>
          </w:p>
          <w:p>
            <w:pPr>
              <w:pStyle w:val="41"/>
              <w:widowControl/>
              <w:spacing w:line="360" w:lineRule="auto"/>
              <w:rPr>
                <w:rFonts w:asciiTheme="minorHAnsi" w:hAnsiTheme="minorHAnsi" w:cstheme="minorHAnsi"/>
              </w:rPr>
            </w:pPr>
            <w:r>
              <w:rPr>
                <w:rFonts w:asciiTheme="minorHAnsi" w:hAnsiTheme="minorHAnsi" w:cstheme="minorHAnsi"/>
              </w:rPr>
              <w:t>【技术流程】</w:t>
            </w:r>
          </w:p>
          <w:p>
            <w:pPr>
              <w:pStyle w:val="41"/>
              <w:widowControl/>
              <w:spacing w:line="360" w:lineRule="auto"/>
              <w:rPr>
                <w:rFonts w:asciiTheme="minorHAnsi" w:hAnsiTheme="minorHAnsi" w:cstheme="minorHAnsi"/>
              </w:rPr>
            </w:pPr>
            <w:r>
              <w:rPr>
                <w:rFonts w:asciiTheme="minorHAnsi" w:hAnsiTheme="minorHAnsi" w:cstheme="minorHAnsi"/>
              </w:rPr>
              <w:t>该技术生产有机肥的工艺环节主要包括原料预处理，一体化机内杀菌及有氧发酵、冷却、二次发酵、分筛、包装等工序，如图Z3所示。</w:t>
            </w:r>
          </w:p>
          <w:p>
            <w:pPr>
              <w:pStyle w:val="32"/>
              <w:widowControl/>
              <w:rPr>
                <w:rFonts w:asciiTheme="minorHAnsi" w:hAnsiTheme="minorHAnsi" w:cstheme="minorHAnsi"/>
              </w:rPr>
            </w:pPr>
            <w:r>
              <w:rPr>
                <w:rFonts w:asciiTheme="minorHAnsi" w:hAnsiTheme="minorHAnsi" w:cstheme="minorHAnsi"/>
              </w:rPr>
              <w:drawing>
                <wp:inline distT="0" distB="0" distL="0" distR="0">
                  <wp:extent cx="3873500" cy="3461385"/>
                  <wp:effectExtent l="0" t="0" r="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968270" cy="3546036"/>
                          </a:xfrm>
                          <a:prstGeom prst="rect">
                            <a:avLst/>
                          </a:prstGeom>
                          <a:noFill/>
                        </pic:spPr>
                      </pic:pic>
                    </a:graphicData>
                  </a:graphic>
                </wp:inline>
              </w:drawing>
            </w:r>
          </w:p>
          <w:p>
            <w:pPr>
              <w:pStyle w:val="32"/>
              <w:widowControl/>
              <w:spacing w:line="360" w:lineRule="auto"/>
              <w:rPr>
                <w:rFonts w:asciiTheme="minorHAnsi" w:hAnsiTheme="minorHAnsi" w:cstheme="minorHAnsi"/>
              </w:rPr>
            </w:pPr>
            <w:r>
              <w:rPr>
                <w:rFonts w:asciiTheme="minorHAnsi" w:hAnsiTheme="minorHAnsi" w:cstheme="minorHAnsi"/>
                <w:sz w:val="22"/>
                <w:szCs w:val="20"/>
              </w:rPr>
              <w:t>图Z3 一体化快速腐熟处理工艺流程</w:t>
            </w:r>
          </w:p>
          <w:p>
            <w:pPr>
              <w:pStyle w:val="41"/>
              <w:widowControl/>
              <w:spacing w:line="360" w:lineRule="auto"/>
              <w:rPr>
                <w:rFonts w:asciiTheme="minorHAnsi" w:hAnsiTheme="minorHAnsi" w:cstheme="minorHAnsi"/>
              </w:rPr>
            </w:pPr>
            <w:r>
              <w:rPr>
                <w:rFonts w:asciiTheme="minorHAnsi" w:hAnsiTheme="minorHAnsi" w:cstheme="minorHAnsi"/>
              </w:rPr>
              <w:t>原料预处理主要包括原料粉碎、物料配比、揉切搅拌混合等，作物秸秆、尾菜瓜秧及果树枝条等废弃物粉碎经称重配比后，通过传送带直接送入搅拌箱发酵机内，边揉切边搅拌，按照物料干、湿水分和性质不同进行含水量调整，保证物料水分配比50%-55%，之后在仓内进行均翻混合搅拌，匀翻时混入发酵菌剂和有益菌剂。</w:t>
            </w:r>
          </w:p>
          <w:p>
            <w:pPr>
              <w:pStyle w:val="41"/>
              <w:widowControl/>
              <w:spacing w:line="360" w:lineRule="auto"/>
              <w:rPr>
                <w:rFonts w:asciiTheme="minorHAnsi" w:hAnsiTheme="minorHAnsi" w:cstheme="minorHAnsi"/>
              </w:rPr>
            </w:pPr>
            <w:r>
              <w:rPr>
                <w:rFonts w:asciiTheme="minorHAnsi" w:hAnsiTheme="minorHAnsi" w:cstheme="minorHAnsi"/>
              </w:rPr>
              <w:t>发酵腐熟工序包括仓内混合发酵和二次腐熟发酵2个环节，其中混合发酵是指通过槽式好氧发酵系统使混合物料进行好氧发酵腐熟。发酵槽底部布设通风系统，进行强制通风供氧，采用翻抛机匀翻物料，3-5天翻抛一次，好氧发酵周期为30天。好氧发酵结束后，将发酵物料运输至二次腐熟车间，二次腐熟是指采用条垛式堆积形式使好氧发酵产物进行二次腐熟，达到有机肥腐熟标准，采用翻抛机匀翻物料，5-7天翻抛一次，二次腐熟周期为15天。</w:t>
            </w:r>
          </w:p>
          <w:p>
            <w:pPr>
              <w:pStyle w:val="41"/>
              <w:widowControl/>
              <w:spacing w:line="360" w:lineRule="auto"/>
            </w:pPr>
            <w:r>
              <w:rPr>
                <w:rFonts w:asciiTheme="minorHAnsi" w:hAnsiTheme="minorHAnsi" w:cstheme="minorHAnsi"/>
              </w:rPr>
              <w:t>二次腐熟后物料，生产颗粒状精制有机肥依次进行配料、混合、制粒、冷却筛分、包装储存等步骤，生产颗粒状商品有机肥和粉状商品有机肥。</w:t>
            </w:r>
          </w:p>
        </w:tc>
      </w:tr>
    </w:tbl>
    <w:p>
      <w:pPr>
        <w:pStyle w:val="4"/>
        <w:rPr>
          <w:rFonts w:cstheme="minorHAnsi"/>
        </w:rPr>
      </w:pPr>
      <w:r>
        <w:rPr>
          <w:rFonts w:cstheme="minorHAnsi"/>
        </w:rPr>
        <w:t>3．秸秆粪污协同处理利用</w:t>
      </w:r>
    </w:p>
    <w:p>
      <w:pPr>
        <w:widowControl/>
        <w:ind w:firstLine="562" w:firstLineChars="200"/>
        <w:rPr>
          <w:rFonts w:asciiTheme="minorHAnsi" w:hAnsiTheme="minorHAnsi" w:cstheme="minorHAnsi"/>
        </w:rPr>
      </w:pPr>
      <w:r>
        <w:rPr>
          <w:rFonts w:hint="eastAsia" w:asciiTheme="minorHAnsi" w:hAnsiTheme="minorHAnsi" w:cstheme="minorHAnsi"/>
          <w:b/>
          <w:bCs/>
        </w:rPr>
        <w:t>支持</w:t>
      </w:r>
      <w:r>
        <w:rPr>
          <w:rFonts w:asciiTheme="minorHAnsi" w:hAnsiTheme="minorHAnsi" w:cstheme="minorHAnsi"/>
          <w:b/>
          <w:bCs/>
        </w:rPr>
        <w:t>内容：</w:t>
      </w:r>
      <w:r>
        <w:rPr>
          <w:rFonts w:asciiTheme="minorHAnsi" w:hAnsiTheme="minorHAnsi" w:cstheme="minorHAnsi"/>
        </w:rPr>
        <w:t>根据大兴区种养殖废弃物资源量分布情况，依托采育镇现有规模化生猪养殖场，积极推进农业废弃物肥料化利用。以益生菌生态养殖技术为核心，以作物秸秆、果树枝条等农业废弃物作为原料，经粉碎、添加益生菌、发酵等程序制成可吸附和分解粪污的养殖床垫料循环使用；还能够将使用完的垫料与粪污一起作为原料经一体化机发酵生产高品质有机肥料，继续用于农业生产，实现区域种养殖循环生产“零排放”目标。</w:t>
      </w:r>
    </w:p>
    <w:tbl>
      <w:tblPr>
        <w:tblStyle w:val="1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tcPr>
          <w:p>
            <w:pPr>
              <w:widowControl/>
              <w:spacing w:before="156" w:beforeLines="50" w:after="156" w:afterLines="50"/>
              <w:jc w:val="center"/>
              <w:rPr>
                <w:rFonts w:eastAsia="黑体" w:asciiTheme="minorHAnsi" w:hAnsiTheme="minorHAnsi" w:cstheme="minorHAnsi"/>
                <w:kern w:val="0"/>
                <w:sz w:val="24"/>
                <w:szCs w:val="24"/>
              </w:rPr>
            </w:pPr>
            <w:r>
              <w:rPr>
                <w:rFonts w:eastAsia="黑体" w:asciiTheme="minorHAnsi" w:hAnsiTheme="minorHAnsi" w:cstheme="minorHAnsi"/>
                <w:kern w:val="0"/>
                <w:sz w:val="24"/>
                <w:szCs w:val="24"/>
              </w:rPr>
              <w:t>专栏四：典型技术模式——秸秆粪污协同处理技术模式</w:t>
            </w:r>
          </w:p>
          <w:p>
            <w:pPr>
              <w:widowControl/>
              <w:spacing w:line="360" w:lineRule="auto"/>
              <w:ind w:firstLine="480" w:firstLineChars="200"/>
              <w:rPr>
                <w:rFonts w:eastAsia="楷体" w:asciiTheme="minorHAnsi" w:hAnsiTheme="minorHAnsi" w:cstheme="minorHAnsi"/>
                <w:sz w:val="24"/>
                <w:szCs w:val="24"/>
              </w:rPr>
            </w:pPr>
            <w:r>
              <w:rPr>
                <w:rFonts w:eastAsia="楷体" w:asciiTheme="minorHAnsi" w:hAnsiTheme="minorHAnsi" w:cstheme="minorHAnsi"/>
                <w:sz w:val="24"/>
                <w:szCs w:val="24"/>
              </w:rPr>
              <w:t>【技术原理与特点】</w:t>
            </w:r>
          </w:p>
          <w:p>
            <w:pPr>
              <w:widowControl/>
              <w:spacing w:line="360" w:lineRule="auto"/>
              <w:ind w:firstLine="480" w:firstLineChars="200"/>
              <w:rPr>
                <w:rFonts w:eastAsia="楷体" w:asciiTheme="minorHAnsi" w:hAnsiTheme="minorHAnsi" w:cstheme="minorHAnsi"/>
                <w:sz w:val="24"/>
                <w:szCs w:val="24"/>
              </w:rPr>
            </w:pPr>
            <w:r>
              <w:rPr>
                <w:rFonts w:eastAsia="楷体" w:asciiTheme="minorHAnsi" w:hAnsiTheme="minorHAnsi" w:cstheme="minorHAnsi"/>
                <w:sz w:val="24"/>
                <w:szCs w:val="24"/>
              </w:rPr>
              <w:t>秸秆粪污协同处理技术模式充分利用农业农村部推广的生物发酵床养殖技术，将作物秸秆、果树枝条等农业废弃物及微生物菌剂按一定方式和比例混合制成可供生猪、奶牛活动的发酵床垫料，由有益微生物组成的复合菌群消化分解猪、牛粪尿，通过机械化翻耙、清运垫料，实现养殖舍免冲洗，在大幅节约清粪和用水成本的同时，能够有效消纳、转化秸秆等废弃物，发酵后的垫料还可作为有机肥还田，达到高效、节本、增收的目的，促进健康养殖与生态环境协调发展。</w:t>
            </w:r>
          </w:p>
          <w:p>
            <w:pPr>
              <w:widowControl/>
              <w:spacing w:line="360" w:lineRule="auto"/>
              <w:ind w:firstLine="480" w:firstLineChars="200"/>
              <w:rPr>
                <w:rFonts w:asciiTheme="minorHAnsi" w:hAnsiTheme="minorHAnsi" w:cstheme="minorHAnsi"/>
              </w:rPr>
            </w:pPr>
            <w:r>
              <w:rPr>
                <w:rFonts w:eastAsia="楷体" w:asciiTheme="minorHAnsi" w:hAnsiTheme="minorHAnsi" w:cstheme="minorHAnsi"/>
                <w:sz w:val="24"/>
                <w:szCs w:val="24"/>
              </w:rPr>
              <w:t>技术流程主要包括原料预处理、添加菌剂、垫料预发酵、消纳分解粪污、机械化翻耙、高温堆肥发酵、粉碎、筛分、包装等工序，如图Z4所示。</w:t>
            </w:r>
          </w:p>
          <w:p>
            <w:pPr>
              <w:pStyle w:val="32"/>
              <w:widowControl/>
              <w:rPr>
                <w:rFonts w:asciiTheme="minorHAnsi" w:hAnsiTheme="minorHAnsi" w:cstheme="minorHAnsi"/>
              </w:rPr>
            </w:pPr>
            <w:r>
              <w:rPr>
                <w:rFonts w:asciiTheme="minorHAnsi" w:hAnsiTheme="minorHAnsi" w:cstheme="minorHAnsi"/>
              </w:rPr>
              <w:drawing>
                <wp:inline distT="0" distB="0" distL="114300" distR="114300">
                  <wp:extent cx="4199890" cy="1472565"/>
                  <wp:effectExtent l="0" t="0" r="0" b="0"/>
                  <wp:docPr id="10" name="图片 10" descr="1652018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52018566(1)"/>
                          <pic:cNvPicPr>
                            <a:picLocks noChangeAspect="1"/>
                          </pic:cNvPicPr>
                        </pic:nvPicPr>
                        <pic:blipFill>
                          <a:blip r:embed="rId18"/>
                          <a:stretch>
                            <a:fillRect/>
                          </a:stretch>
                        </pic:blipFill>
                        <pic:spPr>
                          <a:xfrm>
                            <a:off x="0" y="0"/>
                            <a:ext cx="4269007" cy="1496634"/>
                          </a:xfrm>
                          <a:prstGeom prst="rect">
                            <a:avLst/>
                          </a:prstGeom>
                        </pic:spPr>
                      </pic:pic>
                    </a:graphicData>
                  </a:graphic>
                </wp:inline>
              </w:drawing>
            </w:r>
          </w:p>
          <w:p>
            <w:pPr>
              <w:pStyle w:val="32"/>
              <w:widowControl/>
              <w:spacing w:line="360" w:lineRule="auto"/>
              <w:rPr>
                <w:rFonts w:asciiTheme="minorHAnsi" w:hAnsiTheme="minorHAnsi" w:cstheme="minorHAnsi"/>
                <w:sz w:val="22"/>
                <w:szCs w:val="20"/>
              </w:rPr>
            </w:pPr>
            <w:r>
              <w:rPr>
                <w:rFonts w:asciiTheme="minorHAnsi" w:hAnsiTheme="minorHAnsi" w:cstheme="minorHAnsi"/>
                <w:sz w:val="22"/>
                <w:szCs w:val="20"/>
              </w:rPr>
              <w:t>图Z4 秸秆粪污协同处理工艺流程</w:t>
            </w:r>
          </w:p>
          <w:p>
            <w:pPr>
              <w:widowControl/>
              <w:spacing w:line="360" w:lineRule="auto"/>
              <w:ind w:firstLine="480" w:firstLineChars="200"/>
              <w:rPr>
                <w:rFonts w:eastAsia="楷体" w:asciiTheme="minorHAnsi" w:hAnsiTheme="minorHAnsi" w:cstheme="minorHAnsi"/>
                <w:bCs/>
                <w:kern w:val="0"/>
                <w:sz w:val="24"/>
                <w:szCs w:val="28"/>
              </w:rPr>
            </w:pPr>
            <w:r>
              <w:rPr>
                <w:rFonts w:eastAsia="楷体" w:asciiTheme="minorHAnsi" w:hAnsiTheme="minorHAnsi" w:cstheme="minorHAnsi"/>
                <w:bCs/>
                <w:kern w:val="0"/>
                <w:sz w:val="24"/>
                <w:szCs w:val="28"/>
              </w:rPr>
              <w:t>【技术要点】</w:t>
            </w:r>
          </w:p>
          <w:p>
            <w:pPr>
              <w:widowControl/>
              <w:spacing w:line="360" w:lineRule="auto"/>
              <w:ind w:firstLine="480" w:firstLineChars="200"/>
              <w:rPr>
                <w:rFonts w:eastAsia="楷体" w:asciiTheme="minorHAnsi" w:hAnsiTheme="minorHAnsi" w:cstheme="minorHAnsi"/>
                <w:bCs/>
                <w:kern w:val="0"/>
                <w:sz w:val="24"/>
                <w:szCs w:val="28"/>
              </w:rPr>
            </w:pPr>
            <w:r>
              <w:rPr>
                <w:rFonts w:eastAsia="楷体" w:asciiTheme="minorHAnsi" w:hAnsiTheme="minorHAnsi" w:cstheme="minorHAnsi"/>
                <w:bCs/>
                <w:kern w:val="0"/>
                <w:sz w:val="24"/>
                <w:szCs w:val="28"/>
              </w:rPr>
              <w:t>1. 选择地表不易积水、供水排水便利、有较好自然通风条件的场地设施发酵床。</w:t>
            </w:r>
          </w:p>
          <w:p>
            <w:pPr>
              <w:widowControl/>
              <w:spacing w:line="360" w:lineRule="auto"/>
              <w:ind w:firstLine="480" w:firstLineChars="200"/>
              <w:rPr>
                <w:rFonts w:eastAsia="楷体" w:asciiTheme="minorHAnsi" w:hAnsiTheme="minorHAnsi" w:cstheme="minorHAnsi"/>
                <w:bCs/>
                <w:kern w:val="0"/>
                <w:sz w:val="24"/>
                <w:szCs w:val="28"/>
              </w:rPr>
            </w:pPr>
            <w:r>
              <w:rPr>
                <w:rFonts w:eastAsia="楷体" w:asciiTheme="minorHAnsi" w:hAnsiTheme="minorHAnsi" w:cstheme="minorHAnsi"/>
                <w:bCs/>
                <w:kern w:val="0"/>
                <w:sz w:val="24"/>
                <w:szCs w:val="28"/>
              </w:rPr>
              <w:t>2. 定期翻耙发酵床，翻耙次数每周至少1次，确保垫料和粪污充分混合发酵。</w:t>
            </w:r>
          </w:p>
          <w:p>
            <w:pPr>
              <w:widowControl/>
              <w:spacing w:line="360" w:lineRule="auto"/>
              <w:ind w:firstLine="480" w:firstLineChars="200"/>
              <w:rPr>
                <w:rFonts w:asciiTheme="minorHAnsi" w:hAnsiTheme="minorHAnsi" w:cstheme="minorHAnsi"/>
              </w:rPr>
            </w:pPr>
            <w:r>
              <w:rPr>
                <w:rFonts w:eastAsia="楷体" w:asciiTheme="minorHAnsi" w:hAnsiTheme="minorHAnsi" w:cstheme="minorHAnsi"/>
                <w:sz w:val="24"/>
                <w:szCs w:val="24"/>
              </w:rPr>
              <w:t>3.垫料铺设过程中要填充均匀，透气性要好，菌液喷洒要均匀，翻料不留死角，首期垫料的湿度控制在40%-60%，需经过预发酵3天才可放入养殖场。</w:t>
            </w:r>
          </w:p>
        </w:tc>
      </w:tr>
    </w:tbl>
    <w:p>
      <w:pPr>
        <w:pStyle w:val="4"/>
        <w:rPr>
          <w:rFonts w:cstheme="minorHAnsi"/>
        </w:rPr>
      </w:pPr>
      <w:r>
        <w:rPr>
          <w:rFonts w:cstheme="minorHAnsi"/>
        </w:rPr>
        <w:t>4．可移动快速堆肥还田</w:t>
      </w:r>
    </w:p>
    <w:p>
      <w:pPr>
        <w:widowControl/>
        <w:ind w:firstLine="562" w:firstLineChars="200"/>
        <w:rPr>
          <w:rFonts w:asciiTheme="minorHAnsi" w:hAnsiTheme="minorHAnsi" w:cstheme="minorHAnsi"/>
        </w:rPr>
      </w:pPr>
      <w:r>
        <w:rPr>
          <w:rFonts w:hint="eastAsia" w:asciiTheme="minorHAnsi" w:hAnsiTheme="minorHAnsi" w:cstheme="minorHAnsi"/>
          <w:b/>
          <w:bCs/>
        </w:rPr>
        <w:t>支持</w:t>
      </w:r>
      <w:r>
        <w:rPr>
          <w:rFonts w:asciiTheme="minorHAnsi" w:hAnsiTheme="minorHAnsi" w:cstheme="minorHAnsi"/>
          <w:b/>
          <w:bCs/>
        </w:rPr>
        <w:t>内容：</w:t>
      </w:r>
      <w:r>
        <w:rPr>
          <w:rFonts w:asciiTheme="minorHAnsi" w:hAnsiTheme="minorHAnsi" w:cstheme="minorHAnsi"/>
        </w:rPr>
        <w:t>遵循就地就近肥料化利用原则，依托大兴区果蔬种植大户、专业合作社和农业园区等新型经营主体，在全区分散开展果蔬废弃物堆肥还田技术试点示范，推广直接粉碎还田、简易堆肥还田、膜式发酵还田等循环利用模式，采用可移动式快速制肥技术，在空闲用地进行分拣、粉碎等预处理，经过分拣粉碎预处理、添加畜禽粪污或生物菌剂、混配物料等步骤后，就地堆肥发酵，生产有机肥料和土壤改良剂，就地改良土壤结构，进一步培肥地力。</w:t>
      </w:r>
    </w:p>
    <w:p>
      <w:pPr>
        <w:widowControl/>
        <w:ind w:firstLine="560" w:firstLineChars="200"/>
        <w:rPr>
          <w:rFonts w:asciiTheme="minorHAnsi" w:hAnsiTheme="minorHAnsi" w:cstheme="minorHAnsi"/>
        </w:rPr>
      </w:pPr>
    </w:p>
    <w:tbl>
      <w:tblPr>
        <w:tblStyle w:val="1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tcPr>
          <w:p>
            <w:pPr>
              <w:widowControl/>
              <w:spacing w:before="156" w:beforeLines="50" w:after="156" w:afterLines="50"/>
              <w:jc w:val="center"/>
              <w:rPr>
                <w:rFonts w:eastAsia="黑体" w:asciiTheme="minorHAnsi" w:hAnsiTheme="minorHAnsi" w:cstheme="minorHAnsi"/>
                <w:sz w:val="24"/>
                <w:szCs w:val="21"/>
              </w:rPr>
            </w:pPr>
            <w:r>
              <w:rPr>
                <w:rFonts w:eastAsia="黑体" w:asciiTheme="minorHAnsi" w:hAnsiTheme="minorHAnsi" w:cstheme="minorHAnsi"/>
                <w:sz w:val="24"/>
                <w:szCs w:val="21"/>
              </w:rPr>
              <w:t>专栏五：快速堆肥典型技术模式</w:t>
            </w:r>
          </w:p>
          <w:p>
            <w:pPr>
              <w:widowControl/>
              <w:spacing w:line="360" w:lineRule="auto"/>
              <w:ind w:firstLine="442" w:firstLineChars="200"/>
              <w:jc w:val="left"/>
              <w:rPr>
                <w:rFonts w:asciiTheme="minorHAnsi" w:hAnsiTheme="minorHAnsi" w:cstheme="minorHAnsi"/>
                <w:b/>
                <w:bCs/>
                <w:sz w:val="22"/>
                <w:szCs w:val="20"/>
              </w:rPr>
            </w:pPr>
            <w:r>
              <w:rPr>
                <w:rFonts w:asciiTheme="minorHAnsi" w:hAnsiTheme="minorHAnsi" w:cstheme="minorHAnsi"/>
                <w:b/>
                <w:bCs/>
                <w:sz w:val="22"/>
                <w:szCs w:val="20"/>
              </w:rPr>
              <w:t>（一）覆膜堆肥技术模式</w:t>
            </w:r>
          </w:p>
          <w:p>
            <w:pPr>
              <w:pStyle w:val="41"/>
              <w:widowControl/>
              <w:spacing w:line="360" w:lineRule="auto"/>
              <w:rPr>
                <w:rFonts w:asciiTheme="minorHAnsi" w:hAnsiTheme="minorHAnsi" w:cstheme="minorHAnsi"/>
              </w:rPr>
            </w:pPr>
            <w:r>
              <w:rPr>
                <w:rFonts w:asciiTheme="minorHAnsi" w:hAnsiTheme="minorHAnsi" w:cstheme="minorHAnsi"/>
              </w:rPr>
              <w:t>【技术原理与特点】</w:t>
            </w:r>
          </w:p>
          <w:p>
            <w:pPr>
              <w:widowControl/>
              <w:spacing w:line="360" w:lineRule="auto"/>
              <w:ind w:firstLine="480" w:firstLineChars="200"/>
              <w:rPr>
                <w:rFonts w:eastAsia="楷体" w:asciiTheme="minorHAnsi" w:hAnsiTheme="minorHAnsi" w:cstheme="minorHAnsi"/>
                <w:bCs/>
                <w:kern w:val="0"/>
                <w:sz w:val="24"/>
                <w:szCs w:val="28"/>
              </w:rPr>
            </w:pPr>
            <w:r>
              <w:rPr>
                <w:rFonts w:eastAsia="楷体" w:asciiTheme="minorHAnsi" w:hAnsiTheme="minorHAnsi" w:cstheme="minorHAnsi"/>
                <w:bCs/>
                <w:kern w:val="0"/>
                <w:sz w:val="24"/>
                <w:szCs w:val="28"/>
              </w:rPr>
              <w:t>田间纳米膜堆肥技术模式是将秸秆、尾菜等农林牧废弃物粉碎后与畜禽粪便配混，采用高效发酵菌种，通过覆膜发酵及物联网智能控制，进行快速好氧发酵，制成有机肥料并就地还田。具有发酵周期短、处理效率高、使用范围广、运营成本低、环保节能、物联网智能调控等优点，单套装备一般可覆盖农业用地30亩或林果用地100亩。</w:t>
            </w:r>
          </w:p>
          <w:p>
            <w:pPr>
              <w:pStyle w:val="41"/>
              <w:widowControl/>
              <w:spacing w:line="360" w:lineRule="auto"/>
              <w:rPr>
                <w:rFonts w:asciiTheme="minorHAnsi" w:hAnsiTheme="minorHAnsi" w:cstheme="minorHAnsi"/>
              </w:rPr>
            </w:pPr>
            <w:r>
              <w:rPr>
                <w:rFonts w:asciiTheme="minorHAnsi" w:hAnsiTheme="minorHAnsi" w:cstheme="minorHAnsi"/>
              </w:rPr>
              <w:t>【技术流程】</w:t>
            </w:r>
          </w:p>
          <w:p>
            <w:pPr>
              <w:widowControl/>
              <w:spacing w:line="360" w:lineRule="auto"/>
              <w:ind w:firstLine="480" w:firstLineChars="200"/>
              <w:rPr>
                <w:rFonts w:eastAsia="楷体" w:asciiTheme="minorHAnsi" w:hAnsiTheme="minorHAnsi" w:cstheme="minorHAnsi"/>
                <w:bCs/>
                <w:kern w:val="0"/>
                <w:sz w:val="24"/>
                <w:szCs w:val="28"/>
              </w:rPr>
            </w:pPr>
            <w:r>
              <w:rPr>
                <w:rFonts w:eastAsia="楷体" w:asciiTheme="minorHAnsi" w:hAnsiTheme="minorHAnsi" w:cstheme="minorHAnsi"/>
                <w:bCs/>
                <w:kern w:val="0"/>
                <w:sz w:val="24"/>
                <w:szCs w:val="28"/>
              </w:rPr>
              <w:t>技术工艺流程主要包括物料粉碎、物料混配、堆体建设、覆膜、智能控制、腐熟发酵、还田利用等工序。核心部件是高分子选择性透过微孔膜材料，可防水透气，使发酵过程通氧顺畅，能够有效截留臭气、粉尘等，堆肥15天左右可将有机废弃物转化成高品质肥料。</w:t>
            </w:r>
          </w:p>
          <w:p>
            <w:pPr>
              <w:pStyle w:val="32"/>
              <w:widowControl/>
              <w:rPr>
                <w:rFonts w:asciiTheme="minorHAnsi" w:hAnsiTheme="minorHAnsi" w:cstheme="minorHAnsi"/>
              </w:rPr>
            </w:pPr>
            <w:r>
              <w:rPr>
                <w:rFonts w:asciiTheme="minorHAnsi" w:hAnsiTheme="minorHAnsi" w:cstheme="minorHAnsi"/>
              </w:rPr>
              <w:drawing>
                <wp:inline distT="0" distB="0" distL="0" distR="0">
                  <wp:extent cx="4532630" cy="1731645"/>
                  <wp:effectExtent l="0" t="0" r="1270"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582567" cy="1751019"/>
                          </a:xfrm>
                          <a:prstGeom prst="rect">
                            <a:avLst/>
                          </a:prstGeom>
                          <a:noFill/>
                        </pic:spPr>
                      </pic:pic>
                    </a:graphicData>
                  </a:graphic>
                </wp:inline>
              </w:drawing>
            </w:r>
          </w:p>
          <w:p>
            <w:pPr>
              <w:pStyle w:val="32"/>
              <w:widowControl/>
              <w:spacing w:line="360" w:lineRule="auto"/>
              <w:rPr>
                <w:rFonts w:asciiTheme="minorHAnsi" w:hAnsiTheme="minorHAnsi" w:cstheme="minorHAnsi"/>
                <w:sz w:val="22"/>
                <w:szCs w:val="20"/>
              </w:rPr>
            </w:pPr>
            <w:r>
              <w:rPr>
                <w:rFonts w:asciiTheme="minorHAnsi" w:hAnsiTheme="minorHAnsi" w:cstheme="minorHAnsi"/>
                <w:sz w:val="22"/>
                <w:szCs w:val="20"/>
              </w:rPr>
              <w:t>图Z5 田间纳米膜堆肥工艺流程</w:t>
            </w:r>
          </w:p>
          <w:p>
            <w:pPr>
              <w:pStyle w:val="41"/>
              <w:widowControl/>
              <w:spacing w:line="360" w:lineRule="auto"/>
              <w:rPr>
                <w:rFonts w:asciiTheme="minorHAnsi" w:hAnsiTheme="minorHAnsi" w:cstheme="minorHAnsi"/>
              </w:rPr>
            </w:pPr>
            <w:r>
              <w:rPr>
                <w:rFonts w:asciiTheme="minorHAnsi" w:hAnsiTheme="minorHAnsi" w:cstheme="minorHAnsi"/>
              </w:rPr>
              <w:t>【技术要点】</w:t>
            </w:r>
          </w:p>
          <w:p>
            <w:pPr>
              <w:widowControl/>
              <w:spacing w:line="360" w:lineRule="auto"/>
              <w:ind w:firstLine="480" w:firstLineChars="200"/>
              <w:rPr>
                <w:rFonts w:eastAsia="楷体" w:asciiTheme="minorHAnsi" w:hAnsiTheme="minorHAnsi" w:cstheme="minorHAnsi"/>
                <w:bCs/>
                <w:kern w:val="0"/>
                <w:sz w:val="24"/>
                <w:szCs w:val="28"/>
              </w:rPr>
            </w:pPr>
            <w:r>
              <w:rPr>
                <w:rFonts w:hint="eastAsia" w:eastAsia="楷体" w:asciiTheme="minorHAnsi" w:hAnsiTheme="minorHAnsi" w:cstheme="minorHAnsi"/>
                <w:bCs/>
                <w:kern w:val="0"/>
                <w:sz w:val="24"/>
                <w:szCs w:val="28"/>
              </w:rPr>
              <w:t>1</w:t>
            </w:r>
            <w:r>
              <w:rPr>
                <w:rFonts w:eastAsia="楷体" w:asciiTheme="minorHAnsi" w:hAnsiTheme="minorHAnsi" w:cstheme="minorHAnsi"/>
                <w:bCs/>
                <w:kern w:val="0"/>
                <w:sz w:val="24"/>
                <w:szCs w:val="28"/>
              </w:rPr>
              <w:t>. 发酵建堆标准：肥堆尺寸10×4×1.5m，体积为60m³，发酵物料总质量为5.1吨左右。</w:t>
            </w:r>
          </w:p>
          <w:p>
            <w:pPr>
              <w:widowControl/>
              <w:spacing w:line="360" w:lineRule="auto"/>
              <w:ind w:firstLine="480" w:firstLineChars="200"/>
              <w:rPr>
                <w:rFonts w:eastAsia="楷体" w:asciiTheme="minorHAnsi" w:hAnsiTheme="minorHAnsi" w:cstheme="minorHAnsi"/>
                <w:bCs/>
                <w:kern w:val="0"/>
                <w:sz w:val="24"/>
                <w:szCs w:val="28"/>
              </w:rPr>
            </w:pPr>
            <w:r>
              <w:rPr>
                <w:rFonts w:hint="eastAsia" w:eastAsia="楷体" w:asciiTheme="minorHAnsi" w:hAnsiTheme="minorHAnsi" w:cstheme="minorHAnsi"/>
                <w:bCs/>
                <w:kern w:val="0"/>
                <w:sz w:val="24"/>
                <w:szCs w:val="28"/>
              </w:rPr>
              <w:t>2</w:t>
            </w:r>
            <w:r>
              <w:rPr>
                <w:rFonts w:eastAsia="楷体" w:asciiTheme="minorHAnsi" w:hAnsiTheme="minorHAnsi" w:cstheme="minorHAnsi"/>
                <w:bCs/>
                <w:kern w:val="0"/>
                <w:sz w:val="24"/>
                <w:szCs w:val="28"/>
              </w:rPr>
              <w:t>. 微生物发酵菌剂：添加量约为堆体质量的0.1%-0.4%。</w:t>
            </w:r>
          </w:p>
          <w:p>
            <w:pPr>
              <w:widowControl/>
              <w:spacing w:line="360" w:lineRule="auto"/>
              <w:ind w:firstLine="480" w:firstLineChars="200"/>
              <w:rPr>
                <w:rFonts w:eastAsia="楷体" w:asciiTheme="minorHAnsi" w:hAnsiTheme="minorHAnsi" w:cstheme="minorHAnsi"/>
                <w:bCs/>
                <w:kern w:val="0"/>
                <w:sz w:val="24"/>
                <w:szCs w:val="28"/>
              </w:rPr>
            </w:pPr>
            <w:r>
              <w:rPr>
                <w:rFonts w:hint="eastAsia" w:eastAsia="楷体" w:asciiTheme="minorHAnsi" w:hAnsiTheme="minorHAnsi" w:cstheme="minorHAnsi"/>
                <w:bCs/>
                <w:kern w:val="0"/>
                <w:sz w:val="24"/>
                <w:szCs w:val="28"/>
              </w:rPr>
              <w:t>3</w:t>
            </w:r>
            <w:r>
              <w:rPr>
                <w:rFonts w:eastAsia="楷体" w:asciiTheme="minorHAnsi" w:hAnsiTheme="minorHAnsi" w:cstheme="minorHAnsi"/>
                <w:bCs/>
                <w:kern w:val="0"/>
                <w:sz w:val="24"/>
                <w:szCs w:val="28"/>
              </w:rPr>
              <w:t>. 碳氮比调节：通过添加畜禽粪便或氮肥调节农业废弃物堆料的C/N至20:1-40:1，最佳C/N为25-35.1。</w:t>
            </w:r>
          </w:p>
          <w:p>
            <w:pPr>
              <w:widowControl/>
              <w:spacing w:line="360" w:lineRule="auto"/>
              <w:ind w:firstLine="480" w:firstLineChars="200"/>
              <w:rPr>
                <w:rFonts w:eastAsia="楷体" w:asciiTheme="minorHAnsi" w:hAnsiTheme="minorHAnsi" w:cstheme="minorHAnsi"/>
                <w:bCs/>
                <w:kern w:val="0"/>
                <w:sz w:val="24"/>
                <w:szCs w:val="28"/>
              </w:rPr>
            </w:pPr>
            <w:r>
              <w:rPr>
                <w:rFonts w:hint="eastAsia" w:eastAsia="楷体" w:asciiTheme="minorHAnsi" w:hAnsiTheme="minorHAnsi" w:cstheme="minorHAnsi"/>
                <w:bCs/>
                <w:kern w:val="0"/>
                <w:sz w:val="24"/>
                <w:szCs w:val="28"/>
              </w:rPr>
              <w:t>4</w:t>
            </w:r>
            <w:r>
              <w:rPr>
                <w:rFonts w:eastAsia="楷体" w:asciiTheme="minorHAnsi" w:hAnsiTheme="minorHAnsi" w:cstheme="minorHAnsi"/>
                <w:bCs/>
                <w:kern w:val="0"/>
                <w:sz w:val="24"/>
                <w:szCs w:val="28"/>
              </w:rPr>
              <w:t>. 含水量调节：通过添加干、湿物料或加水调节发酵堆含水量至50%-60%。</w:t>
            </w:r>
          </w:p>
          <w:p>
            <w:pPr>
              <w:widowControl/>
              <w:spacing w:line="360" w:lineRule="auto"/>
              <w:ind w:firstLine="480" w:firstLineChars="200"/>
              <w:rPr>
                <w:rFonts w:eastAsia="楷体" w:asciiTheme="minorHAnsi" w:hAnsiTheme="minorHAnsi" w:cstheme="minorHAnsi"/>
                <w:bCs/>
                <w:kern w:val="0"/>
                <w:sz w:val="24"/>
                <w:szCs w:val="28"/>
              </w:rPr>
            </w:pPr>
            <w:r>
              <w:rPr>
                <w:rFonts w:hint="eastAsia" w:eastAsia="楷体" w:asciiTheme="minorHAnsi" w:hAnsiTheme="minorHAnsi" w:cstheme="minorHAnsi"/>
                <w:bCs/>
                <w:kern w:val="0"/>
                <w:sz w:val="24"/>
                <w:szCs w:val="28"/>
              </w:rPr>
              <w:t>5</w:t>
            </w:r>
            <w:r>
              <w:rPr>
                <w:rFonts w:eastAsia="楷体" w:asciiTheme="minorHAnsi" w:hAnsiTheme="minorHAnsi" w:cstheme="minorHAnsi"/>
                <w:bCs/>
                <w:kern w:val="0"/>
                <w:sz w:val="24"/>
                <w:szCs w:val="28"/>
              </w:rPr>
              <w:t>. 定时鼓气：建堆完成后通过软件设置鼓风频率，一般为每4小时鼓入空气10分钟。</w:t>
            </w:r>
          </w:p>
          <w:p>
            <w:pPr>
              <w:widowControl/>
              <w:spacing w:line="360" w:lineRule="auto"/>
              <w:ind w:firstLine="480" w:firstLineChars="200"/>
              <w:rPr>
                <w:rFonts w:eastAsia="楷体" w:asciiTheme="minorHAnsi" w:hAnsiTheme="minorHAnsi" w:cstheme="minorHAnsi"/>
                <w:bCs/>
                <w:kern w:val="0"/>
                <w:sz w:val="24"/>
                <w:szCs w:val="28"/>
              </w:rPr>
            </w:pPr>
            <w:r>
              <w:rPr>
                <w:rFonts w:hint="eastAsia" w:eastAsia="楷体" w:asciiTheme="minorHAnsi" w:hAnsiTheme="minorHAnsi" w:cstheme="minorHAnsi"/>
                <w:bCs/>
                <w:kern w:val="0"/>
                <w:sz w:val="24"/>
                <w:szCs w:val="28"/>
              </w:rPr>
              <w:t>6</w:t>
            </w:r>
            <w:r>
              <w:rPr>
                <w:rFonts w:eastAsia="楷体" w:asciiTheme="minorHAnsi" w:hAnsiTheme="minorHAnsi" w:cstheme="minorHAnsi"/>
                <w:bCs/>
                <w:kern w:val="0"/>
                <w:sz w:val="24"/>
                <w:szCs w:val="28"/>
              </w:rPr>
              <w:t>. 翻堆调节：发酵升温期，堆体温度首次上升至55℃-60℃翻堆一次。发酵高温期，堆体温度保持在55℃-65℃，每2-5天翻堆一次，但当堆体温度超过65℃时应及时翻堆，并调节物料的含水量在50%-65%之间。发酵降温期，堆体温度低于55℃以后，每7-12天翻堆一次，当堆体温度下降至35℃以下且连续两天温度差不超过±2℃时停止翻堆。</w:t>
            </w:r>
          </w:p>
          <w:p>
            <w:pPr>
              <w:widowControl/>
              <w:spacing w:line="360" w:lineRule="auto"/>
              <w:ind w:firstLine="442" w:firstLineChars="200"/>
              <w:jc w:val="left"/>
              <w:rPr>
                <w:rFonts w:asciiTheme="minorHAnsi" w:hAnsiTheme="minorHAnsi" w:cstheme="minorHAnsi"/>
                <w:b/>
                <w:bCs/>
                <w:sz w:val="22"/>
                <w:szCs w:val="20"/>
              </w:rPr>
            </w:pPr>
            <w:r>
              <w:rPr>
                <w:rFonts w:asciiTheme="minorHAnsi" w:hAnsiTheme="minorHAnsi" w:cstheme="minorHAnsi"/>
                <w:b/>
                <w:bCs/>
                <w:sz w:val="22"/>
                <w:szCs w:val="20"/>
              </w:rPr>
              <w:t>（二）堆沤还田技术模式</w:t>
            </w:r>
          </w:p>
          <w:p>
            <w:pPr>
              <w:pStyle w:val="41"/>
              <w:widowControl/>
              <w:spacing w:line="360" w:lineRule="auto"/>
              <w:rPr>
                <w:rFonts w:asciiTheme="minorHAnsi" w:hAnsiTheme="minorHAnsi" w:cstheme="minorHAnsi"/>
              </w:rPr>
            </w:pPr>
            <w:r>
              <w:rPr>
                <w:rFonts w:asciiTheme="minorHAnsi" w:hAnsiTheme="minorHAnsi" w:cstheme="minorHAnsi"/>
              </w:rPr>
              <w:t>【技术原理与特点】</w:t>
            </w:r>
          </w:p>
          <w:p>
            <w:pPr>
              <w:widowControl/>
              <w:spacing w:line="360" w:lineRule="auto"/>
              <w:ind w:firstLine="480" w:firstLineChars="200"/>
              <w:rPr>
                <w:rFonts w:eastAsia="楷体" w:asciiTheme="minorHAnsi" w:hAnsiTheme="minorHAnsi" w:cstheme="minorHAnsi"/>
                <w:sz w:val="24"/>
                <w:szCs w:val="24"/>
              </w:rPr>
            </w:pPr>
            <w:r>
              <w:rPr>
                <w:rFonts w:eastAsia="楷体" w:asciiTheme="minorHAnsi" w:hAnsiTheme="minorHAnsi" w:cstheme="minorHAnsi"/>
                <w:sz w:val="24"/>
                <w:szCs w:val="24"/>
              </w:rPr>
              <w:t>秸秆堆沤还田是将秸秆与畜禽粪尿、腐熟剂等物质掺混后经堆沤腐熟，发酵成有机肥料的一种技术。该技术能够可生产提升土壤肥力的腐殖质和有效态氮、磷、钾等多种营养物质，是秸秆无害化处理和肥料化利用的重要途径。</w:t>
            </w:r>
          </w:p>
          <w:p>
            <w:pPr>
              <w:pStyle w:val="41"/>
              <w:widowControl/>
              <w:spacing w:line="360" w:lineRule="auto"/>
              <w:rPr>
                <w:rFonts w:asciiTheme="minorHAnsi" w:hAnsiTheme="minorHAnsi" w:cstheme="minorHAnsi"/>
              </w:rPr>
            </w:pPr>
            <w:r>
              <w:rPr>
                <w:rFonts w:asciiTheme="minorHAnsi" w:hAnsiTheme="minorHAnsi" w:cstheme="minorHAnsi"/>
              </w:rPr>
              <w:t>【技术流程】</w:t>
            </w:r>
          </w:p>
          <w:p>
            <w:pPr>
              <w:pStyle w:val="41"/>
              <w:widowControl/>
              <w:spacing w:line="360" w:lineRule="auto"/>
              <w:rPr>
                <w:rFonts w:asciiTheme="minorHAnsi" w:hAnsiTheme="minorHAnsi" w:cstheme="minorHAnsi"/>
              </w:rPr>
            </w:pPr>
            <w:r>
              <w:rPr>
                <w:rFonts w:asciiTheme="minorHAnsi" w:hAnsiTheme="minorHAnsi" w:cstheme="minorHAnsi"/>
                <w:szCs w:val="24"/>
              </w:rPr>
              <w:t>该技术模式主要环节包括秸秆粉碎、浸湿堆制、添加腐熟剂、密封和成肥。</w:t>
            </w:r>
          </w:p>
          <w:p>
            <w:pPr>
              <w:widowControl/>
              <w:spacing w:line="360" w:lineRule="auto"/>
              <w:ind w:firstLine="482" w:firstLineChars="200"/>
              <w:rPr>
                <w:rFonts w:eastAsia="楷体" w:asciiTheme="minorHAnsi" w:hAnsiTheme="minorHAnsi" w:cstheme="minorHAnsi"/>
                <w:sz w:val="24"/>
                <w:szCs w:val="24"/>
              </w:rPr>
            </w:pPr>
            <w:r>
              <w:rPr>
                <w:rFonts w:hint="eastAsia" w:eastAsia="楷体" w:asciiTheme="minorHAnsi" w:hAnsiTheme="minorHAnsi" w:cstheme="minorHAnsi"/>
                <w:b/>
                <w:bCs/>
                <w:sz w:val="24"/>
                <w:szCs w:val="24"/>
              </w:rPr>
              <w:t>秸秆粉碎。</w:t>
            </w:r>
            <w:r>
              <w:rPr>
                <w:rFonts w:eastAsia="楷体" w:asciiTheme="minorHAnsi" w:hAnsiTheme="minorHAnsi" w:cstheme="minorHAnsi"/>
                <w:sz w:val="24"/>
                <w:szCs w:val="24"/>
              </w:rPr>
              <w:t>通过粉碎机将秸秆铡成不长于5cm左右的碎段。</w:t>
            </w:r>
          </w:p>
          <w:p>
            <w:pPr>
              <w:widowControl/>
              <w:spacing w:line="360" w:lineRule="auto"/>
              <w:ind w:firstLine="482" w:firstLineChars="200"/>
              <w:rPr>
                <w:rFonts w:eastAsia="楷体" w:asciiTheme="minorHAnsi" w:hAnsiTheme="minorHAnsi" w:cstheme="minorHAnsi"/>
                <w:sz w:val="24"/>
                <w:szCs w:val="24"/>
              </w:rPr>
            </w:pPr>
            <w:r>
              <w:rPr>
                <w:rFonts w:hint="eastAsia" w:eastAsia="楷体" w:asciiTheme="minorHAnsi" w:hAnsiTheme="minorHAnsi" w:cstheme="minorHAnsi"/>
                <w:b/>
                <w:bCs/>
                <w:sz w:val="24"/>
                <w:szCs w:val="24"/>
              </w:rPr>
              <w:t>浸湿堆置和添加腐熟剂。</w:t>
            </w:r>
            <w:r>
              <w:rPr>
                <w:rFonts w:eastAsia="楷体" w:asciiTheme="minorHAnsi" w:hAnsiTheme="minorHAnsi" w:cstheme="minorHAnsi"/>
                <w:sz w:val="24"/>
                <w:szCs w:val="24"/>
              </w:rPr>
              <w:t>秸秆充分浸湿后，压实堆成条垛，并将腐熟剂和尿素（或畜禽粪便）均匀撒在秸秆上面，反复进行翻搅。</w:t>
            </w:r>
          </w:p>
          <w:p>
            <w:pPr>
              <w:widowControl/>
              <w:spacing w:line="360" w:lineRule="auto"/>
              <w:ind w:firstLine="482" w:firstLineChars="200"/>
              <w:rPr>
                <w:rFonts w:eastAsia="楷体" w:asciiTheme="minorHAnsi" w:hAnsiTheme="minorHAnsi" w:cstheme="minorHAnsi"/>
                <w:sz w:val="24"/>
                <w:szCs w:val="24"/>
              </w:rPr>
            </w:pPr>
            <w:r>
              <w:rPr>
                <w:rFonts w:hint="eastAsia" w:eastAsia="楷体" w:asciiTheme="minorHAnsi" w:hAnsiTheme="minorHAnsi" w:cstheme="minorHAnsi"/>
                <w:b/>
                <w:bCs/>
                <w:sz w:val="24"/>
                <w:szCs w:val="24"/>
              </w:rPr>
              <w:t>密封</w:t>
            </w:r>
            <w:r>
              <w:rPr>
                <w:rFonts w:hint="eastAsia" w:eastAsia="楷体" w:asciiTheme="minorHAnsi" w:hAnsiTheme="minorHAnsi" w:cstheme="minorHAnsi"/>
                <w:sz w:val="24"/>
                <w:szCs w:val="24"/>
              </w:rPr>
              <w:t>。</w:t>
            </w:r>
            <w:r>
              <w:rPr>
                <w:rFonts w:eastAsia="楷体" w:asciiTheme="minorHAnsi" w:hAnsiTheme="minorHAnsi" w:cstheme="minorHAnsi"/>
                <w:sz w:val="24"/>
                <w:szCs w:val="24"/>
              </w:rPr>
              <w:t>堆肥制好后使用塑料薄膜或泥土进行密封。</w:t>
            </w:r>
          </w:p>
          <w:p>
            <w:pPr>
              <w:widowControl/>
              <w:spacing w:line="360" w:lineRule="auto"/>
              <w:ind w:firstLine="482" w:firstLineChars="200"/>
              <w:rPr>
                <w:rFonts w:asciiTheme="minorHAnsi" w:hAnsiTheme="minorHAnsi" w:cstheme="minorHAnsi"/>
                <w:b/>
                <w:bCs/>
                <w:sz w:val="24"/>
                <w:szCs w:val="24"/>
              </w:rPr>
            </w:pPr>
            <w:r>
              <w:rPr>
                <w:rFonts w:hint="eastAsia" w:eastAsia="楷体" w:asciiTheme="minorHAnsi" w:hAnsiTheme="minorHAnsi" w:cstheme="minorHAnsi"/>
                <w:b/>
                <w:bCs/>
                <w:sz w:val="24"/>
                <w:szCs w:val="24"/>
              </w:rPr>
              <w:t>成肥</w:t>
            </w:r>
            <w:r>
              <w:rPr>
                <w:rFonts w:hint="eastAsia" w:eastAsia="楷体" w:asciiTheme="minorHAnsi" w:hAnsiTheme="minorHAnsi" w:cstheme="minorHAnsi"/>
                <w:sz w:val="24"/>
                <w:szCs w:val="24"/>
              </w:rPr>
              <w:t>。</w:t>
            </w:r>
            <w:r>
              <w:rPr>
                <w:rFonts w:eastAsia="楷体" w:asciiTheme="minorHAnsi" w:hAnsiTheme="minorHAnsi" w:cstheme="minorHAnsi"/>
                <w:sz w:val="24"/>
                <w:szCs w:val="24"/>
              </w:rPr>
              <w:t>通常夏季密封20-30天、冬季密封60-90天左右，即可成肥还田。</w:t>
            </w:r>
          </w:p>
          <w:p>
            <w:pPr>
              <w:pStyle w:val="32"/>
              <w:widowControl/>
              <w:rPr>
                <w:rFonts w:asciiTheme="minorHAnsi" w:hAnsiTheme="minorHAnsi" w:cstheme="minorHAnsi"/>
              </w:rPr>
            </w:pPr>
            <w:r>
              <w:rPr>
                <w:rFonts w:asciiTheme="minorHAnsi" w:hAnsiTheme="minorHAnsi" w:cstheme="minorHAnsi"/>
              </w:rPr>
              <w:drawing>
                <wp:inline distT="0" distB="0" distL="114300" distR="114300">
                  <wp:extent cx="4266565" cy="752475"/>
                  <wp:effectExtent l="0" t="0" r="635" b="0"/>
                  <wp:docPr id="11" name="图片 11" descr="1652023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52023456(1)"/>
                          <pic:cNvPicPr>
                            <a:picLocks noChangeAspect="1"/>
                          </pic:cNvPicPr>
                        </pic:nvPicPr>
                        <pic:blipFill>
                          <a:blip r:embed="rId20"/>
                          <a:stretch>
                            <a:fillRect/>
                          </a:stretch>
                        </pic:blipFill>
                        <pic:spPr>
                          <a:xfrm>
                            <a:off x="0" y="0"/>
                            <a:ext cx="4274567" cy="753817"/>
                          </a:xfrm>
                          <a:prstGeom prst="rect">
                            <a:avLst/>
                          </a:prstGeom>
                        </pic:spPr>
                      </pic:pic>
                    </a:graphicData>
                  </a:graphic>
                </wp:inline>
              </w:drawing>
            </w:r>
          </w:p>
          <w:p>
            <w:pPr>
              <w:pStyle w:val="32"/>
              <w:widowControl/>
              <w:spacing w:line="360" w:lineRule="auto"/>
              <w:rPr>
                <w:rFonts w:asciiTheme="minorHAnsi" w:hAnsiTheme="minorHAnsi" w:cstheme="minorHAnsi"/>
                <w:sz w:val="22"/>
                <w:szCs w:val="20"/>
              </w:rPr>
            </w:pPr>
            <w:r>
              <w:rPr>
                <w:rFonts w:asciiTheme="minorHAnsi" w:hAnsiTheme="minorHAnsi" w:cstheme="minorHAnsi"/>
                <w:sz w:val="22"/>
                <w:szCs w:val="20"/>
              </w:rPr>
              <w:t>图Z6 堆沤还田工艺流程</w:t>
            </w:r>
          </w:p>
          <w:p>
            <w:pPr>
              <w:pStyle w:val="41"/>
              <w:widowControl/>
              <w:spacing w:line="360" w:lineRule="auto"/>
              <w:rPr>
                <w:rFonts w:asciiTheme="minorHAnsi" w:hAnsiTheme="minorHAnsi" w:cstheme="minorHAnsi"/>
              </w:rPr>
            </w:pPr>
            <w:r>
              <w:rPr>
                <w:rFonts w:asciiTheme="minorHAnsi" w:hAnsiTheme="minorHAnsi" w:cstheme="minorHAnsi"/>
              </w:rPr>
              <w:t>【技术要点】</w:t>
            </w:r>
          </w:p>
          <w:p>
            <w:pPr>
              <w:widowControl/>
              <w:spacing w:line="360" w:lineRule="auto"/>
              <w:ind w:firstLine="480" w:firstLineChars="200"/>
              <w:rPr>
                <w:rFonts w:eastAsia="楷体" w:asciiTheme="minorHAnsi" w:hAnsiTheme="minorHAnsi" w:cstheme="minorHAnsi"/>
                <w:sz w:val="24"/>
                <w:szCs w:val="24"/>
              </w:rPr>
            </w:pPr>
            <w:r>
              <w:rPr>
                <w:rFonts w:eastAsia="楷体" w:asciiTheme="minorHAnsi" w:hAnsiTheme="minorHAnsi" w:cstheme="minorHAnsi"/>
                <w:sz w:val="24"/>
                <w:szCs w:val="24"/>
              </w:rPr>
              <w:t>1.调节好碳氮比，通常每吨秸秆添加5-8kg尿素（或畜禽粪便100kg）和1kg秸秆腐熟剂。</w:t>
            </w:r>
          </w:p>
          <w:p>
            <w:pPr>
              <w:widowControl/>
              <w:spacing w:line="360" w:lineRule="auto"/>
              <w:ind w:firstLine="480" w:firstLineChars="200"/>
              <w:rPr>
                <w:rFonts w:eastAsia="楷体" w:asciiTheme="minorHAnsi" w:hAnsiTheme="minorHAnsi" w:cstheme="minorHAnsi"/>
                <w:sz w:val="24"/>
                <w:szCs w:val="24"/>
              </w:rPr>
            </w:pPr>
            <w:r>
              <w:rPr>
                <w:rFonts w:eastAsia="楷体" w:asciiTheme="minorHAnsi" w:hAnsiTheme="minorHAnsi" w:cstheme="minorHAnsi"/>
                <w:sz w:val="24"/>
                <w:szCs w:val="24"/>
              </w:rPr>
              <w:t>2.堆置过程中要保证秸秆含水量在60%左右。</w:t>
            </w:r>
          </w:p>
          <w:p>
            <w:pPr>
              <w:widowControl/>
              <w:spacing w:line="360" w:lineRule="auto"/>
              <w:ind w:firstLine="480" w:firstLineChars="200"/>
              <w:rPr>
                <w:rFonts w:eastAsia="楷体" w:asciiTheme="minorHAnsi" w:hAnsiTheme="minorHAnsi" w:cstheme="minorHAnsi"/>
                <w:sz w:val="24"/>
                <w:szCs w:val="24"/>
              </w:rPr>
            </w:pPr>
            <w:r>
              <w:rPr>
                <w:rFonts w:eastAsia="楷体" w:asciiTheme="minorHAnsi" w:hAnsiTheme="minorHAnsi" w:cstheme="minorHAnsi"/>
                <w:sz w:val="24"/>
                <w:szCs w:val="24"/>
              </w:rPr>
              <w:t>3.腐熟好的堆肥无味或少量腥味，呈黄褐色或黑褐色并伴有白色菌丝或斑点。</w:t>
            </w:r>
          </w:p>
          <w:p>
            <w:pPr>
              <w:widowControl/>
              <w:spacing w:line="360" w:lineRule="auto"/>
              <w:ind w:firstLine="442" w:firstLineChars="200"/>
              <w:jc w:val="left"/>
              <w:rPr>
                <w:rFonts w:asciiTheme="minorHAnsi" w:hAnsiTheme="minorHAnsi" w:cstheme="minorHAnsi"/>
                <w:b/>
                <w:bCs/>
                <w:sz w:val="22"/>
                <w:szCs w:val="20"/>
              </w:rPr>
            </w:pPr>
            <w:r>
              <w:rPr>
                <w:rFonts w:asciiTheme="minorHAnsi" w:hAnsiTheme="minorHAnsi" w:cstheme="minorHAnsi"/>
                <w:b/>
                <w:bCs/>
                <w:sz w:val="22"/>
                <w:szCs w:val="20"/>
              </w:rPr>
              <w:t>（三）秸秆生物反应堆技术</w:t>
            </w:r>
          </w:p>
          <w:p>
            <w:pPr>
              <w:pStyle w:val="41"/>
              <w:widowControl/>
              <w:spacing w:line="360" w:lineRule="auto"/>
              <w:rPr>
                <w:rFonts w:asciiTheme="minorHAnsi" w:hAnsiTheme="minorHAnsi" w:cstheme="minorHAnsi"/>
              </w:rPr>
            </w:pPr>
            <w:r>
              <w:rPr>
                <w:rFonts w:asciiTheme="minorHAnsi" w:hAnsiTheme="minorHAnsi" w:cstheme="minorHAnsi"/>
              </w:rPr>
              <w:t>【技术原理与特点】</w:t>
            </w:r>
          </w:p>
          <w:p>
            <w:pPr>
              <w:widowControl/>
              <w:spacing w:line="360" w:lineRule="auto"/>
              <w:ind w:firstLine="480" w:firstLineChars="200"/>
              <w:rPr>
                <w:rFonts w:eastAsia="楷体" w:asciiTheme="minorHAnsi" w:hAnsiTheme="minorHAnsi" w:cstheme="minorHAnsi"/>
                <w:sz w:val="24"/>
                <w:szCs w:val="24"/>
              </w:rPr>
            </w:pPr>
            <w:r>
              <w:rPr>
                <w:rFonts w:eastAsia="楷体" w:asciiTheme="minorHAnsi" w:hAnsiTheme="minorHAnsi" w:cstheme="minorHAnsi"/>
                <w:sz w:val="24"/>
                <w:szCs w:val="24"/>
              </w:rPr>
              <w:t>秸秆生物反应堆技术以作物秸秆、果蔬藤蔓等农业废弃物为主要原料，将其埋置于农作物行间、垄下(内置式）或堆置于设施温室一端（外置式)，使废弃物在微生物菌、催化剂、净化剂等作用下转化为有机肥料，具有资源丰富、成本低、周期短、易操作、收益高、综合技术效应大、环保效应显著等特点。该技术按照利用方式可分为内置式和外置式生物反应堆，内置式主要是开沟将秸秆埋入土壤中，适用于大棚种植和露地种植；外置式主要是把反应堆建于地表，适用于大棚种植。</w:t>
            </w:r>
          </w:p>
          <w:p>
            <w:pPr>
              <w:pStyle w:val="41"/>
              <w:widowControl/>
              <w:spacing w:line="360" w:lineRule="auto"/>
              <w:rPr>
                <w:rFonts w:asciiTheme="minorHAnsi" w:hAnsiTheme="minorHAnsi" w:cstheme="minorHAnsi"/>
              </w:rPr>
            </w:pPr>
            <w:r>
              <w:rPr>
                <w:rFonts w:asciiTheme="minorHAnsi" w:hAnsiTheme="minorHAnsi" w:cstheme="minorHAnsi"/>
              </w:rPr>
              <w:t>【技术流程】</w:t>
            </w:r>
          </w:p>
          <w:p>
            <w:pPr>
              <w:widowControl/>
              <w:spacing w:line="360" w:lineRule="auto"/>
              <w:ind w:firstLine="480" w:firstLineChars="200"/>
              <w:rPr>
                <w:rFonts w:eastAsia="楷体" w:asciiTheme="minorHAnsi" w:hAnsiTheme="minorHAnsi" w:cstheme="minorHAnsi"/>
                <w:sz w:val="24"/>
                <w:szCs w:val="24"/>
              </w:rPr>
            </w:pPr>
            <w:r>
              <w:rPr>
                <w:rFonts w:eastAsia="楷体" w:asciiTheme="minorHAnsi" w:hAnsiTheme="minorHAnsi" w:cstheme="minorHAnsi"/>
                <w:sz w:val="24"/>
                <w:szCs w:val="24"/>
              </w:rPr>
              <w:t>该技术主要环节（以行下内置式为例）包括开沟、铺秸秆、撒菌种、覆土、浇水、整垄、打孔和定植。</w:t>
            </w:r>
          </w:p>
          <w:p>
            <w:pPr>
              <w:widowControl/>
              <w:spacing w:line="360" w:lineRule="auto"/>
              <w:ind w:firstLine="482" w:firstLineChars="200"/>
              <w:rPr>
                <w:rFonts w:eastAsia="楷体" w:asciiTheme="minorHAnsi" w:hAnsiTheme="minorHAnsi" w:cstheme="minorHAnsi"/>
                <w:sz w:val="24"/>
                <w:szCs w:val="24"/>
              </w:rPr>
            </w:pPr>
            <w:r>
              <w:rPr>
                <w:rFonts w:hint="eastAsia" w:eastAsia="楷体" w:asciiTheme="minorHAnsi" w:hAnsiTheme="minorHAnsi" w:cstheme="minorHAnsi"/>
                <w:b/>
                <w:bCs/>
                <w:sz w:val="24"/>
                <w:szCs w:val="24"/>
              </w:rPr>
              <w:t>开沟。</w:t>
            </w:r>
            <w:r>
              <w:rPr>
                <w:rFonts w:eastAsia="楷体" w:asciiTheme="minorHAnsi" w:hAnsiTheme="minorHAnsi" w:cstheme="minorHAnsi"/>
                <w:sz w:val="24"/>
                <w:szCs w:val="24"/>
              </w:rPr>
              <w:t>一堆双行宜采用大小行种植，大行宽100-120cm，小行宽60-80cm;在小行位置开沟，沟宽60-80cm，沟深20-25cm，开沟长度与行长相等，土壤等量分放沟两边。</w:t>
            </w:r>
          </w:p>
          <w:p>
            <w:pPr>
              <w:widowControl/>
              <w:spacing w:line="360" w:lineRule="auto"/>
              <w:ind w:firstLine="482" w:firstLineChars="200"/>
              <w:rPr>
                <w:rFonts w:eastAsia="楷体" w:asciiTheme="minorHAnsi" w:hAnsiTheme="minorHAnsi" w:cstheme="minorHAnsi"/>
                <w:sz w:val="24"/>
                <w:szCs w:val="24"/>
              </w:rPr>
            </w:pPr>
            <w:r>
              <w:rPr>
                <w:rFonts w:hint="eastAsia" w:eastAsia="楷体" w:asciiTheme="minorHAnsi" w:hAnsiTheme="minorHAnsi" w:cstheme="minorHAnsi"/>
                <w:b/>
                <w:bCs/>
                <w:sz w:val="24"/>
                <w:szCs w:val="24"/>
              </w:rPr>
              <w:t>铺秸秆。</w:t>
            </w:r>
            <w:r>
              <w:rPr>
                <w:rFonts w:eastAsia="楷体" w:asciiTheme="minorHAnsi" w:hAnsiTheme="minorHAnsi" w:cstheme="minorHAnsi"/>
                <w:sz w:val="24"/>
                <w:szCs w:val="24"/>
              </w:rPr>
              <w:t>开沟完毕后，在沟内铺放秸秆。一般底部铺放整秸秆，上部放碎软秸秆。铺完踏实后的厚度为25-30cm，沟两头露出10cm秸秆茬，以便进氧气。</w:t>
            </w:r>
          </w:p>
          <w:p>
            <w:pPr>
              <w:widowControl/>
              <w:spacing w:line="360" w:lineRule="auto"/>
              <w:ind w:firstLine="482" w:firstLineChars="200"/>
              <w:rPr>
                <w:rFonts w:eastAsia="楷体" w:asciiTheme="minorHAnsi" w:hAnsiTheme="minorHAnsi" w:cstheme="minorHAnsi"/>
                <w:sz w:val="24"/>
                <w:szCs w:val="24"/>
              </w:rPr>
            </w:pPr>
            <w:r>
              <w:rPr>
                <w:rFonts w:hint="eastAsia" w:eastAsia="楷体" w:asciiTheme="minorHAnsi" w:hAnsiTheme="minorHAnsi" w:cstheme="minorHAnsi"/>
                <w:b/>
                <w:bCs/>
                <w:sz w:val="24"/>
                <w:szCs w:val="24"/>
              </w:rPr>
              <w:t>撒菌种。</w:t>
            </w:r>
            <w:r>
              <w:rPr>
                <w:rFonts w:eastAsia="楷体" w:asciiTheme="minorHAnsi" w:hAnsiTheme="minorHAnsi" w:cstheme="minorHAnsi"/>
                <w:sz w:val="24"/>
                <w:szCs w:val="24"/>
              </w:rPr>
              <w:t>将处理后的菌种6kg均匀撒在每沟秸秆上，并用锨轻扣1遍，使菌种与秸秆均匀接触。</w:t>
            </w:r>
          </w:p>
          <w:p>
            <w:pPr>
              <w:widowControl/>
              <w:spacing w:line="360" w:lineRule="auto"/>
              <w:ind w:firstLine="482" w:firstLineChars="200"/>
              <w:rPr>
                <w:rFonts w:eastAsia="楷体" w:asciiTheme="minorHAnsi" w:hAnsiTheme="minorHAnsi" w:cstheme="minorHAnsi"/>
                <w:sz w:val="24"/>
                <w:szCs w:val="24"/>
              </w:rPr>
            </w:pPr>
            <w:r>
              <w:rPr>
                <w:rFonts w:hint="eastAsia" w:eastAsia="楷体" w:asciiTheme="minorHAnsi" w:hAnsiTheme="minorHAnsi" w:cstheme="minorHAnsi"/>
                <w:b/>
                <w:bCs/>
                <w:sz w:val="24"/>
                <w:szCs w:val="24"/>
              </w:rPr>
              <w:t>覆土。</w:t>
            </w:r>
            <w:r>
              <w:rPr>
                <w:rFonts w:eastAsia="楷体" w:asciiTheme="minorHAnsi" w:hAnsiTheme="minorHAnsi" w:cstheme="minorHAnsi"/>
                <w:sz w:val="24"/>
                <w:szCs w:val="24"/>
              </w:rPr>
              <w:t>将沟两边的土回填于秸秆上，覆土厚度20-25cm，形成种植垄，并将垄面整平。</w:t>
            </w:r>
          </w:p>
          <w:p>
            <w:pPr>
              <w:widowControl/>
              <w:spacing w:line="360" w:lineRule="auto"/>
              <w:ind w:firstLine="482" w:firstLineChars="200"/>
              <w:rPr>
                <w:rFonts w:eastAsia="楷体" w:asciiTheme="minorHAnsi" w:hAnsiTheme="minorHAnsi" w:cstheme="minorHAnsi"/>
                <w:sz w:val="24"/>
                <w:szCs w:val="24"/>
              </w:rPr>
            </w:pPr>
            <w:r>
              <w:rPr>
                <w:rFonts w:hint="eastAsia" w:eastAsia="楷体" w:asciiTheme="minorHAnsi" w:hAnsiTheme="minorHAnsi" w:cstheme="minorHAnsi"/>
                <w:b/>
                <w:bCs/>
                <w:sz w:val="24"/>
                <w:szCs w:val="24"/>
              </w:rPr>
              <w:t>浇水。</w:t>
            </w:r>
            <w:r>
              <w:rPr>
                <w:rFonts w:eastAsia="楷体" w:asciiTheme="minorHAnsi" w:hAnsiTheme="minorHAnsi" w:cstheme="minorHAnsi"/>
                <w:sz w:val="24"/>
                <w:szCs w:val="24"/>
              </w:rPr>
              <w:t>浇水以湿透秸秆为宜。</w:t>
            </w:r>
          </w:p>
          <w:p>
            <w:pPr>
              <w:widowControl/>
              <w:spacing w:line="360" w:lineRule="auto"/>
              <w:ind w:firstLine="482" w:firstLineChars="200"/>
              <w:rPr>
                <w:rFonts w:eastAsia="楷体" w:asciiTheme="minorHAnsi" w:hAnsiTheme="minorHAnsi" w:cstheme="minorHAnsi"/>
                <w:sz w:val="24"/>
                <w:szCs w:val="24"/>
              </w:rPr>
            </w:pPr>
            <w:r>
              <w:rPr>
                <w:rFonts w:hint="eastAsia" w:eastAsia="楷体" w:asciiTheme="minorHAnsi" w:hAnsiTheme="minorHAnsi" w:cstheme="minorHAnsi"/>
                <w:b/>
                <w:bCs/>
                <w:sz w:val="24"/>
                <w:szCs w:val="24"/>
              </w:rPr>
              <w:t>整垄。</w:t>
            </w:r>
            <w:r>
              <w:rPr>
                <w:rFonts w:eastAsia="楷体" w:asciiTheme="minorHAnsi" w:hAnsiTheme="minorHAnsi" w:cstheme="minorHAnsi"/>
                <w:sz w:val="24"/>
                <w:szCs w:val="24"/>
              </w:rPr>
              <w:t>浇水后3-4天后将垄面找平，秸秆上的土层厚度为20cm左右。</w:t>
            </w:r>
          </w:p>
          <w:p>
            <w:pPr>
              <w:widowControl/>
              <w:spacing w:line="360" w:lineRule="auto"/>
              <w:ind w:firstLine="482" w:firstLineChars="200"/>
              <w:rPr>
                <w:rFonts w:eastAsia="楷体" w:asciiTheme="minorHAnsi" w:hAnsiTheme="minorHAnsi" w:cstheme="minorHAnsi"/>
                <w:sz w:val="24"/>
                <w:szCs w:val="24"/>
              </w:rPr>
            </w:pPr>
            <w:r>
              <w:rPr>
                <w:rFonts w:hint="eastAsia" w:eastAsia="楷体" w:asciiTheme="minorHAnsi" w:hAnsiTheme="minorHAnsi" w:cstheme="minorHAnsi"/>
                <w:b/>
                <w:bCs/>
                <w:sz w:val="24"/>
                <w:szCs w:val="24"/>
              </w:rPr>
              <w:t>打孔。</w:t>
            </w:r>
            <w:r>
              <w:rPr>
                <w:rFonts w:eastAsia="楷体" w:asciiTheme="minorHAnsi" w:hAnsiTheme="minorHAnsi" w:cstheme="minorHAnsi"/>
                <w:sz w:val="24"/>
                <w:szCs w:val="24"/>
              </w:rPr>
              <w:t>在垄上打3行孔，行距25-30cm，孔距20cm，孔深以穿透秸秆层为准，以利进氧气发酵，促进秸秆转化，等待定植。</w:t>
            </w:r>
          </w:p>
          <w:p>
            <w:pPr>
              <w:widowControl/>
              <w:spacing w:line="360" w:lineRule="auto"/>
              <w:ind w:firstLine="482" w:firstLineChars="200"/>
              <w:rPr>
                <w:rFonts w:eastAsia="楷体" w:asciiTheme="minorHAnsi" w:hAnsiTheme="minorHAnsi" w:cstheme="minorHAnsi"/>
                <w:sz w:val="24"/>
                <w:szCs w:val="24"/>
              </w:rPr>
            </w:pPr>
            <w:r>
              <w:rPr>
                <w:rFonts w:hint="eastAsia" w:eastAsia="楷体" w:asciiTheme="minorHAnsi" w:hAnsiTheme="minorHAnsi" w:cstheme="minorHAnsi"/>
                <w:b/>
                <w:bCs/>
                <w:sz w:val="24"/>
                <w:szCs w:val="24"/>
              </w:rPr>
              <w:t>定植。</w:t>
            </w:r>
            <w:r>
              <w:rPr>
                <w:rFonts w:eastAsia="楷体" w:asciiTheme="minorHAnsi" w:hAnsiTheme="minorHAnsi" w:cstheme="minorHAnsi"/>
                <w:sz w:val="24"/>
                <w:szCs w:val="24"/>
              </w:rPr>
              <w:t>一般不浇大水，只浇小水，1棵1碗。定植后高温期3天、低温期5-6天浇1次透水。能进地时打1遍孔，以后打的孔与前次错位，生长期内每月打孔1-2次。</w:t>
            </w:r>
          </w:p>
          <w:p>
            <w:pPr>
              <w:pStyle w:val="32"/>
              <w:widowControl/>
              <w:rPr>
                <w:rFonts w:asciiTheme="minorHAnsi" w:hAnsiTheme="minorHAnsi" w:cstheme="minorHAnsi"/>
              </w:rPr>
            </w:pPr>
            <w:r>
              <w:rPr>
                <w:rFonts w:asciiTheme="minorHAnsi" w:hAnsiTheme="minorHAnsi" w:cstheme="minorHAnsi"/>
              </w:rPr>
              <w:drawing>
                <wp:inline distT="0" distB="0" distL="114300" distR="114300">
                  <wp:extent cx="4516755" cy="652780"/>
                  <wp:effectExtent l="0" t="0" r="0" b="0"/>
                  <wp:docPr id="12" name="图片 12" descr="16520198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52019862(1)"/>
                          <pic:cNvPicPr>
                            <a:picLocks noChangeAspect="1"/>
                          </pic:cNvPicPr>
                        </pic:nvPicPr>
                        <pic:blipFill>
                          <a:blip r:embed="rId21"/>
                          <a:stretch>
                            <a:fillRect/>
                          </a:stretch>
                        </pic:blipFill>
                        <pic:spPr>
                          <a:xfrm>
                            <a:off x="0" y="0"/>
                            <a:ext cx="4563704" cy="659853"/>
                          </a:xfrm>
                          <a:prstGeom prst="rect">
                            <a:avLst/>
                          </a:prstGeom>
                        </pic:spPr>
                      </pic:pic>
                    </a:graphicData>
                  </a:graphic>
                </wp:inline>
              </w:drawing>
            </w:r>
          </w:p>
          <w:p>
            <w:pPr>
              <w:pStyle w:val="32"/>
              <w:widowControl/>
              <w:spacing w:line="360" w:lineRule="auto"/>
              <w:rPr>
                <w:rFonts w:asciiTheme="minorHAnsi" w:hAnsiTheme="minorHAnsi" w:cstheme="minorHAnsi"/>
                <w:sz w:val="22"/>
                <w:szCs w:val="20"/>
              </w:rPr>
            </w:pPr>
            <w:r>
              <w:rPr>
                <w:rFonts w:asciiTheme="minorHAnsi" w:hAnsiTheme="minorHAnsi" w:cstheme="minorHAnsi"/>
                <w:sz w:val="22"/>
                <w:szCs w:val="20"/>
              </w:rPr>
              <w:t>图Z7秸秆生物反应堆工艺流程</w:t>
            </w:r>
          </w:p>
          <w:p>
            <w:pPr>
              <w:pStyle w:val="41"/>
              <w:widowControl/>
              <w:spacing w:line="360" w:lineRule="auto"/>
              <w:rPr>
                <w:rFonts w:asciiTheme="minorHAnsi" w:hAnsiTheme="minorHAnsi" w:cstheme="minorHAnsi"/>
              </w:rPr>
            </w:pPr>
            <w:r>
              <w:rPr>
                <w:rFonts w:asciiTheme="minorHAnsi" w:hAnsiTheme="minorHAnsi" w:cstheme="minorHAnsi"/>
              </w:rPr>
              <w:t>【技术要点】</w:t>
            </w:r>
          </w:p>
          <w:p>
            <w:pPr>
              <w:widowControl/>
              <w:spacing w:line="360" w:lineRule="auto"/>
              <w:ind w:firstLine="480" w:firstLineChars="200"/>
              <w:rPr>
                <w:rFonts w:eastAsia="楷体" w:asciiTheme="minorHAnsi" w:hAnsiTheme="minorHAnsi" w:cstheme="minorHAnsi"/>
                <w:sz w:val="24"/>
                <w:szCs w:val="24"/>
              </w:rPr>
            </w:pPr>
            <w:r>
              <w:rPr>
                <w:rFonts w:eastAsia="楷体" w:asciiTheme="minorHAnsi" w:hAnsiTheme="minorHAnsi" w:cstheme="minorHAnsi"/>
                <w:sz w:val="24"/>
                <w:szCs w:val="24"/>
              </w:rPr>
              <w:t>1.内置式反应堆要注重定期补水和打孔补气，除定植前打孔外，每次浇水后都要打孔。</w:t>
            </w:r>
          </w:p>
          <w:p>
            <w:pPr>
              <w:widowControl/>
              <w:spacing w:line="360" w:lineRule="auto"/>
              <w:ind w:firstLine="480" w:firstLineChars="200"/>
              <w:rPr>
                <w:rFonts w:eastAsia="楷体" w:asciiTheme="minorHAnsi" w:hAnsiTheme="minorHAnsi" w:cstheme="minorHAnsi"/>
                <w:sz w:val="24"/>
                <w:szCs w:val="24"/>
              </w:rPr>
            </w:pPr>
            <w:r>
              <w:rPr>
                <w:rFonts w:eastAsia="楷体" w:asciiTheme="minorHAnsi" w:hAnsiTheme="minorHAnsi" w:cstheme="minorHAnsi"/>
                <w:sz w:val="24"/>
                <w:szCs w:val="24"/>
              </w:rPr>
              <w:t>2.外置式反应堆要定期补水，适时补料，按时开机抽取二氧化碳。</w:t>
            </w:r>
          </w:p>
          <w:p>
            <w:pPr>
              <w:widowControl/>
              <w:spacing w:line="360" w:lineRule="auto"/>
              <w:ind w:firstLine="480" w:firstLineChars="200"/>
              <w:rPr>
                <w:rFonts w:eastAsia="楷体" w:asciiTheme="minorHAnsi" w:hAnsiTheme="minorHAnsi" w:cstheme="minorHAnsi"/>
                <w:sz w:val="24"/>
                <w:szCs w:val="24"/>
              </w:rPr>
            </w:pPr>
            <w:r>
              <w:rPr>
                <w:rFonts w:eastAsia="楷体" w:asciiTheme="minorHAnsi" w:hAnsiTheme="minorHAnsi" w:cstheme="minorHAnsi"/>
                <w:sz w:val="24"/>
                <w:szCs w:val="24"/>
              </w:rPr>
              <w:t>3.秸秆、菌种及辅料用量：每亩秸秆用量3000-4000kg，菌种8-10kg，麦麸160-200kg，饼肥80-100kg。</w:t>
            </w:r>
          </w:p>
          <w:p>
            <w:pPr>
              <w:widowControl/>
              <w:spacing w:line="360" w:lineRule="auto"/>
              <w:ind w:firstLine="480" w:firstLineChars="200"/>
              <w:rPr>
                <w:rFonts w:eastAsia="楷体" w:asciiTheme="minorHAnsi" w:hAnsiTheme="minorHAnsi" w:cstheme="minorHAnsi"/>
                <w:sz w:val="24"/>
                <w:szCs w:val="24"/>
              </w:rPr>
            </w:pPr>
            <w:r>
              <w:rPr>
                <w:rFonts w:eastAsia="楷体" w:asciiTheme="minorHAnsi" w:hAnsiTheme="minorHAnsi" w:cstheme="minorHAnsi"/>
                <w:sz w:val="24"/>
                <w:szCs w:val="24"/>
              </w:rPr>
              <w:t>4.菌种使用前一天或当天，必须进行预处理。按1kg菌种兑掺20kg麦麸、10kg饼肥，加水35-40kg，混合拌匀，堆积发酵24小时即可。</w:t>
            </w:r>
          </w:p>
          <w:p>
            <w:pPr>
              <w:widowControl/>
              <w:spacing w:line="360" w:lineRule="auto"/>
              <w:ind w:firstLine="480" w:firstLineChars="200"/>
              <w:rPr>
                <w:rFonts w:asciiTheme="minorHAnsi" w:hAnsiTheme="minorHAnsi" w:cstheme="minorHAnsi"/>
              </w:rPr>
            </w:pPr>
            <w:r>
              <w:rPr>
                <w:rFonts w:eastAsia="楷体" w:asciiTheme="minorHAnsi" w:hAnsiTheme="minorHAnsi" w:cstheme="minorHAnsi"/>
                <w:sz w:val="24"/>
                <w:szCs w:val="24"/>
              </w:rPr>
              <w:t>5.秸秆反应液要及时利用，不宜过多积存，以免降低肥效。</w:t>
            </w:r>
          </w:p>
        </w:tc>
      </w:tr>
      <w:bookmarkEnd w:id="46"/>
    </w:tbl>
    <w:p>
      <w:pPr>
        <w:pStyle w:val="3"/>
        <w:rPr>
          <w:rFonts w:cstheme="minorHAnsi"/>
        </w:rPr>
      </w:pPr>
      <w:bookmarkStart w:id="50" w:name="_Toc101974882"/>
      <w:bookmarkEnd w:id="50"/>
      <w:bookmarkStart w:id="51" w:name="_Toc101974881"/>
      <w:bookmarkEnd w:id="51"/>
      <w:bookmarkStart w:id="52" w:name="_Toc101974880"/>
      <w:bookmarkEnd w:id="52"/>
      <w:bookmarkStart w:id="53" w:name="_Toc101974879"/>
      <w:bookmarkEnd w:id="53"/>
      <w:bookmarkStart w:id="54" w:name="_Toc119659804"/>
      <w:bookmarkStart w:id="55" w:name="_Toc101186364"/>
      <w:bookmarkStart w:id="56" w:name="_Hlk101973049"/>
      <w:r>
        <w:rPr>
          <w:rFonts w:cstheme="minorHAnsi"/>
        </w:rPr>
        <w:t>（五）秸秆绿色低碳高值化利用</w:t>
      </w:r>
      <w:bookmarkEnd w:id="54"/>
      <w:bookmarkEnd w:id="55"/>
    </w:p>
    <w:p>
      <w:pPr>
        <w:pStyle w:val="4"/>
        <w:rPr>
          <w:rFonts w:cstheme="minorHAnsi"/>
        </w:rPr>
      </w:pPr>
      <w:r>
        <w:rPr>
          <w:rFonts w:cstheme="minorHAnsi"/>
        </w:rPr>
        <w:t>1．果树枝条燃料化利用</w:t>
      </w:r>
    </w:p>
    <w:p>
      <w:pPr>
        <w:widowControl/>
        <w:ind w:firstLine="562" w:firstLineChars="200"/>
        <w:rPr>
          <w:rFonts w:asciiTheme="minorHAnsi" w:hAnsiTheme="minorHAnsi" w:cstheme="minorHAnsi"/>
        </w:rPr>
      </w:pPr>
      <w:r>
        <w:rPr>
          <w:rFonts w:hint="eastAsia" w:asciiTheme="minorHAnsi" w:hAnsiTheme="minorHAnsi" w:cstheme="minorHAnsi"/>
          <w:b/>
        </w:rPr>
        <w:t>支持</w:t>
      </w:r>
      <w:r>
        <w:rPr>
          <w:rFonts w:asciiTheme="minorHAnsi" w:hAnsiTheme="minorHAnsi" w:cstheme="minorHAnsi"/>
          <w:b/>
        </w:rPr>
        <w:t>内容：</w:t>
      </w:r>
      <w:r>
        <w:rPr>
          <w:rFonts w:asciiTheme="minorHAnsi" w:hAnsiTheme="minorHAnsi" w:cstheme="minorHAnsi"/>
        </w:rPr>
        <w:t>提升现有燃料化利用收储站，开展以果树枝条为主，兼顾秸秆、瓜秧、绿化剪枝等废弃物处理，生产的打包燃料、成型燃料等销往河北、内蒙古等周边省区</w:t>
      </w:r>
      <w:r>
        <w:rPr>
          <w:rFonts w:hint="eastAsia" w:asciiTheme="minorHAnsi" w:hAnsiTheme="minorHAnsi" w:cstheme="minorHAnsi"/>
        </w:rPr>
        <w:t>，</w:t>
      </w:r>
      <w:r>
        <w:rPr>
          <w:rFonts w:asciiTheme="minorHAnsi" w:hAnsiTheme="minorHAnsi" w:cstheme="minorHAnsi"/>
        </w:rPr>
        <w:t>作为清洁燃料。</w:t>
      </w:r>
    </w:p>
    <w:p>
      <w:pPr>
        <w:widowControl/>
        <w:ind w:firstLine="560" w:firstLineChars="200"/>
        <w:rPr>
          <w:rFonts w:asciiTheme="minorHAnsi" w:hAnsiTheme="minorHAnsi" w:cstheme="minorHAnsi"/>
        </w:rPr>
      </w:pPr>
    </w:p>
    <w:tbl>
      <w:tblPr>
        <w:tblStyle w:val="1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tcPr>
          <w:p>
            <w:pPr>
              <w:widowControl/>
              <w:spacing w:before="156" w:beforeLines="50" w:after="156" w:afterLines="50"/>
              <w:jc w:val="center"/>
              <w:rPr>
                <w:rFonts w:eastAsia="黑体" w:asciiTheme="minorHAnsi" w:hAnsiTheme="minorHAnsi" w:cstheme="minorHAnsi"/>
                <w:kern w:val="0"/>
                <w:sz w:val="24"/>
                <w:szCs w:val="24"/>
              </w:rPr>
            </w:pPr>
            <w:r>
              <w:rPr>
                <w:rFonts w:eastAsia="黑体" w:asciiTheme="minorHAnsi" w:hAnsiTheme="minorHAnsi" w:cstheme="minorHAnsi"/>
                <w:kern w:val="0"/>
                <w:sz w:val="24"/>
                <w:szCs w:val="24"/>
              </w:rPr>
              <w:t>专栏六：燃料化典型技术模式——生物质压块成型技术工艺</w:t>
            </w:r>
          </w:p>
          <w:p>
            <w:pPr>
              <w:pStyle w:val="41"/>
              <w:widowControl/>
              <w:spacing w:line="360" w:lineRule="auto"/>
              <w:rPr>
                <w:rFonts w:asciiTheme="minorHAnsi" w:hAnsiTheme="minorHAnsi" w:cstheme="minorHAnsi"/>
              </w:rPr>
            </w:pPr>
            <w:r>
              <w:rPr>
                <w:rFonts w:asciiTheme="minorHAnsi" w:hAnsiTheme="minorHAnsi" w:cstheme="minorHAnsi"/>
              </w:rPr>
              <w:t>【技术原理与特点】</w:t>
            </w:r>
          </w:p>
          <w:p>
            <w:pPr>
              <w:widowControl/>
              <w:spacing w:line="360" w:lineRule="auto"/>
              <w:ind w:firstLine="480" w:firstLineChars="200"/>
              <w:rPr>
                <w:rFonts w:eastAsia="楷体" w:asciiTheme="minorHAnsi" w:hAnsiTheme="minorHAnsi" w:cstheme="minorHAnsi"/>
                <w:bCs/>
                <w:kern w:val="0"/>
                <w:sz w:val="24"/>
                <w:szCs w:val="28"/>
              </w:rPr>
            </w:pPr>
            <w:r>
              <w:rPr>
                <w:rFonts w:eastAsia="楷体" w:asciiTheme="minorHAnsi" w:hAnsiTheme="minorHAnsi" w:cstheme="minorHAnsi"/>
                <w:bCs/>
                <w:kern w:val="0"/>
                <w:sz w:val="24"/>
                <w:szCs w:val="28"/>
              </w:rPr>
              <w:t>秸秆固化成型技术是在一定条件下，利用木质素充当黏合剂，将松散细碎的、具有一定粒度的秸秆挤压成质地致密、形状规则的棒状、块状或粒状燃料的过程。</w:t>
            </w:r>
          </w:p>
          <w:p>
            <w:pPr>
              <w:pStyle w:val="41"/>
              <w:widowControl/>
              <w:spacing w:line="360" w:lineRule="auto"/>
              <w:rPr>
                <w:rFonts w:asciiTheme="minorHAnsi" w:hAnsiTheme="minorHAnsi" w:cstheme="minorHAnsi"/>
              </w:rPr>
            </w:pPr>
            <w:r>
              <w:rPr>
                <w:rFonts w:asciiTheme="minorHAnsi" w:hAnsiTheme="minorHAnsi" w:cstheme="minorHAnsi"/>
              </w:rPr>
              <w:t>【技术流程】</w:t>
            </w:r>
          </w:p>
          <w:p>
            <w:pPr>
              <w:widowControl/>
              <w:spacing w:line="360" w:lineRule="auto"/>
              <w:ind w:firstLine="480" w:firstLineChars="200"/>
              <w:rPr>
                <w:rFonts w:eastAsia="楷体" w:asciiTheme="minorHAnsi" w:hAnsiTheme="minorHAnsi" w:cstheme="minorHAnsi"/>
                <w:bCs/>
                <w:kern w:val="0"/>
                <w:sz w:val="24"/>
                <w:szCs w:val="28"/>
              </w:rPr>
            </w:pPr>
            <w:r>
              <w:rPr>
                <w:rFonts w:eastAsia="楷体" w:asciiTheme="minorHAnsi" w:hAnsiTheme="minorHAnsi" w:cstheme="minorHAnsi"/>
                <w:bCs/>
                <w:kern w:val="0"/>
                <w:sz w:val="24"/>
                <w:szCs w:val="28"/>
              </w:rPr>
              <w:t>该技术模式工艺路线主要包括原料粗粉碎、干燥、输送、混配、喂料、成型、切断、冷却、计量包装等工序。从整体上分为三个部分，即原料预处理、成型、辅助配套等。</w:t>
            </w:r>
          </w:p>
          <w:p>
            <w:pPr>
              <w:widowControl/>
              <w:spacing w:line="360" w:lineRule="auto"/>
              <w:ind w:firstLine="482" w:firstLineChars="200"/>
              <w:rPr>
                <w:rFonts w:eastAsia="楷体" w:asciiTheme="minorHAnsi" w:hAnsiTheme="minorHAnsi" w:cstheme="minorHAnsi"/>
                <w:b/>
                <w:bCs/>
                <w:kern w:val="0"/>
                <w:sz w:val="24"/>
                <w:szCs w:val="28"/>
              </w:rPr>
            </w:pPr>
            <w:r>
              <w:rPr>
                <w:rFonts w:eastAsia="楷体" w:asciiTheme="minorHAnsi" w:hAnsiTheme="minorHAnsi" w:cstheme="minorHAnsi"/>
                <w:b/>
                <w:bCs/>
                <w:kern w:val="0"/>
                <w:sz w:val="24"/>
                <w:szCs w:val="28"/>
              </w:rPr>
              <w:t>（1）原料预处理</w:t>
            </w:r>
          </w:p>
          <w:p>
            <w:pPr>
              <w:widowControl/>
              <w:spacing w:line="360" w:lineRule="auto"/>
              <w:ind w:firstLine="480" w:firstLineChars="200"/>
              <w:rPr>
                <w:rFonts w:eastAsia="楷体" w:asciiTheme="minorHAnsi" w:hAnsiTheme="minorHAnsi" w:cstheme="minorHAnsi"/>
                <w:bCs/>
                <w:kern w:val="0"/>
                <w:sz w:val="24"/>
                <w:szCs w:val="28"/>
              </w:rPr>
            </w:pPr>
            <w:r>
              <w:rPr>
                <w:rFonts w:eastAsia="楷体" w:asciiTheme="minorHAnsi" w:hAnsiTheme="minorHAnsi" w:cstheme="minorHAnsi"/>
                <w:bCs/>
                <w:kern w:val="0"/>
                <w:sz w:val="24"/>
                <w:szCs w:val="28"/>
              </w:rPr>
              <w:t>原料预处理工段包括原料接收、粉碎、干燥、混配等工序。</w:t>
            </w:r>
          </w:p>
          <w:p>
            <w:pPr>
              <w:widowControl/>
              <w:spacing w:line="360" w:lineRule="auto"/>
              <w:ind w:firstLine="482" w:firstLineChars="200"/>
              <w:rPr>
                <w:rFonts w:eastAsia="楷体" w:asciiTheme="minorHAnsi" w:hAnsiTheme="minorHAnsi" w:cstheme="minorHAnsi"/>
                <w:bCs/>
                <w:kern w:val="0"/>
                <w:sz w:val="24"/>
                <w:szCs w:val="28"/>
              </w:rPr>
            </w:pPr>
            <w:r>
              <w:rPr>
                <w:rFonts w:hint="eastAsia" w:eastAsia="楷体" w:asciiTheme="minorHAnsi" w:hAnsiTheme="minorHAnsi" w:cstheme="minorHAnsi"/>
                <w:b/>
                <w:kern w:val="0"/>
                <w:sz w:val="24"/>
                <w:szCs w:val="28"/>
              </w:rPr>
              <w:t>原料接收。</w:t>
            </w:r>
            <w:r>
              <w:rPr>
                <w:rFonts w:eastAsia="楷体" w:asciiTheme="minorHAnsi" w:hAnsiTheme="minorHAnsi" w:cstheme="minorHAnsi"/>
                <w:bCs/>
                <w:kern w:val="0"/>
                <w:sz w:val="24"/>
                <w:szCs w:val="28"/>
              </w:rPr>
              <w:t>生物质原料自堆料场转运至投料棚，沿着喂料输送带方向顺序堆放，准备投料。同时暂存部分原料，以保证原料在一个班次连续足量供应。</w:t>
            </w:r>
          </w:p>
          <w:p>
            <w:pPr>
              <w:widowControl/>
              <w:spacing w:line="360" w:lineRule="auto"/>
              <w:ind w:firstLine="482" w:firstLineChars="200"/>
              <w:rPr>
                <w:rFonts w:eastAsia="楷体" w:asciiTheme="minorHAnsi" w:hAnsiTheme="minorHAnsi" w:cstheme="minorHAnsi"/>
                <w:bCs/>
                <w:kern w:val="0"/>
                <w:sz w:val="24"/>
                <w:szCs w:val="28"/>
              </w:rPr>
            </w:pPr>
            <w:r>
              <w:rPr>
                <w:rFonts w:hint="eastAsia" w:eastAsia="楷体" w:asciiTheme="minorHAnsi" w:hAnsiTheme="minorHAnsi" w:cstheme="minorHAnsi"/>
                <w:b/>
                <w:kern w:val="0"/>
                <w:sz w:val="24"/>
                <w:szCs w:val="28"/>
              </w:rPr>
              <w:t>粗粉碎。</w:t>
            </w:r>
            <w:r>
              <w:rPr>
                <w:rFonts w:eastAsia="楷体" w:asciiTheme="minorHAnsi" w:hAnsiTheme="minorHAnsi" w:cstheme="minorHAnsi"/>
                <w:bCs/>
                <w:kern w:val="0"/>
                <w:sz w:val="24"/>
                <w:szCs w:val="28"/>
              </w:rPr>
              <w:t>由于生物质原料尺寸较大，不能直接用于颗粒，粗粉碎工序将尺寸较大的生物质粉碎成短而细的纤维状颗粒，粉碎粒度在5-10mm。</w:t>
            </w:r>
          </w:p>
          <w:p>
            <w:pPr>
              <w:widowControl/>
              <w:spacing w:line="360" w:lineRule="auto"/>
              <w:ind w:firstLine="482" w:firstLineChars="200"/>
              <w:rPr>
                <w:rFonts w:eastAsia="楷体" w:asciiTheme="minorHAnsi" w:hAnsiTheme="minorHAnsi" w:cstheme="minorHAnsi"/>
                <w:bCs/>
                <w:kern w:val="0"/>
                <w:sz w:val="24"/>
                <w:szCs w:val="28"/>
              </w:rPr>
            </w:pPr>
            <w:r>
              <w:rPr>
                <w:rFonts w:hint="eastAsia" w:eastAsia="楷体" w:asciiTheme="minorHAnsi" w:hAnsiTheme="minorHAnsi" w:cstheme="minorHAnsi"/>
                <w:b/>
                <w:kern w:val="0"/>
                <w:sz w:val="24"/>
                <w:szCs w:val="28"/>
              </w:rPr>
              <w:t>刮板输送</w:t>
            </w:r>
            <w:r>
              <w:rPr>
                <w:rFonts w:hint="eastAsia" w:eastAsia="楷体" w:asciiTheme="minorHAnsi" w:hAnsiTheme="minorHAnsi" w:cstheme="minorHAnsi"/>
                <w:bCs/>
                <w:kern w:val="0"/>
                <w:sz w:val="24"/>
                <w:szCs w:val="28"/>
              </w:rPr>
              <w:t>。</w:t>
            </w:r>
            <w:r>
              <w:rPr>
                <w:rFonts w:eastAsia="楷体" w:asciiTheme="minorHAnsi" w:hAnsiTheme="minorHAnsi" w:cstheme="minorHAnsi"/>
                <w:bCs/>
                <w:kern w:val="0"/>
                <w:sz w:val="24"/>
                <w:szCs w:val="28"/>
              </w:rPr>
              <w:t>将原料由粉碎工序输送至原料仓，同时还可对原料进行自然烘干。</w:t>
            </w:r>
          </w:p>
          <w:p>
            <w:pPr>
              <w:widowControl/>
              <w:spacing w:line="360" w:lineRule="auto"/>
              <w:ind w:firstLine="482" w:firstLineChars="200"/>
              <w:rPr>
                <w:rFonts w:eastAsia="楷体" w:asciiTheme="minorHAnsi" w:hAnsiTheme="minorHAnsi" w:cstheme="minorHAnsi"/>
                <w:bCs/>
                <w:kern w:val="0"/>
                <w:sz w:val="24"/>
                <w:szCs w:val="28"/>
              </w:rPr>
            </w:pPr>
            <w:r>
              <w:rPr>
                <w:rFonts w:hint="eastAsia" w:eastAsia="楷体" w:asciiTheme="minorHAnsi" w:hAnsiTheme="minorHAnsi" w:cstheme="minorHAnsi"/>
                <w:b/>
                <w:kern w:val="0"/>
                <w:sz w:val="24"/>
                <w:szCs w:val="28"/>
              </w:rPr>
              <w:t>提升与混配。</w:t>
            </w:r>
            <w:r>
              <w:rPr>
                <w:rFonts w:eastAsia="楷体" w:asciiTheme="minorHAnsi" w:hAnsiTheme="minorHAnsi" w:cstheme="minorHAnsi"/>
                <w:bCs/>
                <w:kern w:val="0"/>
                <w:sz w:val="24"/>
                <w:szCs w:val="28"/>
              </w:rPr>
              <w:t>用提升机将原料暂时储存在原料仓内，由于仓内安装抄板，对原料进行搅拌与混合，保证喂料顺畅，压块成型连续生产。</w:t>
            </w:r>
          </w:p>
          <w:p>
            <w:pPr>
              <w:widowControl/>
              <w:spacing w:line="360" w:lineRule="auto"/>
              <w:ind w:firstLine="482" w:firstLineChars="200"/>
              <w:rPr>
                <w:rFonts w:eastAsia="楷体" w:asciiTheme="minorHAnsi" w:hAnsiTheme="minorHAnsi" w:cstheme="minorHAnsi"/>
                <w:bCs/>
                <w:kern w:val="0"/>
                <w:sz w:val="24"/>
                <w:szCs w:val="28"/>
              </w:rPr>
            </w:pPr>
            <w:r>
              <w:rPr>
                <w:rFonts w:hint="eastAsia" w:eastAsia="楷体" w:asciiTheme="minorHAnsi" w:hAnsiTheme="minorHAnsi" w:cstheme="minorHAnsi"/>
                <w:b/>
                <w:kern w:val="0"/>
                <w:sz w:val="24"/>
                <w:szCs w:val="28"/>
              </w:rPr>
              <w:t>螺旋输送</w:t>
            </w:r>
            <w:r>
              <w:rPr>
                <w:rFonts w:hint="eastAsia" w:eastAsia="楷体" w:asciiTheme="minorHAnsi" w:hAnsiTheme="minorHAnsi" w:cstheme="minorHAnsi"/>
                <w:bCs/>
                <w:kern w:val="0"/>
                <w:sz w:val="24"/>
                <w:szCs w:val="28"/>
              </w:rPr>
              <w:t>。</w:t>
            </w:r>
            <w:r>
              <w:rPr>
                <w:rFonts w:eastAsia="楷体" w:asciiTheme="minorHAnsi" w:hAnsiTheme="minorHAnsi" w:cstheme="minorHAnsi"/>
                <w:bCs/>
                <w:kern w:val="0"/>
                <w:sz w:val="24"/>
                <w:szCs w:val="28"/>
              </w:rPr>
              <w:t>保证实现连续、均匀喂料。</w:t>
            </w:r>
          </w:p>
          <w:p>
            <w:pPr>
              <w:widowControl/>
              <w:spacing w:line="360" w:lineRule="auto"/>
              <w:ind w:firstLine="482" w:firstLineChars="200"/>
              <w:rPr>
                <w:rFonts w:eastAsia="楷体" w:asciiTheme="minorHAnsi" w:hAnsiTheme="minorHAnsi" w:cstheme="minorHAnsi"/>
                <w:b/>
                <w:bCs/>
                <w:kern w:val="0"/>
                <w:sz w:val="24"/>
                <w:szCs w:val="28"/>
              </w:rPr>
            </w:pPr>
            <w:r>
              <w:rPr>
                <w:rFonts w:eastAsia="楷体" w:asciiTheme="minorHAnsi" w:hAnsiTheme="minorHAnsi" w:cstheme="minorHAnsi"/>
                <w:b/>
                <w:bCs/>
                <w:kern w:val="0"/>
                <w:sz w:val="24"/>
                <w:szCs w:val="28"/>
              </w:rPr>
              <w:t>（2）压块成型工艺</w:t>
            </w:r>
          </w:p>
          <w:p>
            <w:pPr>
              <w:widowControl/>
              <w:spacing w:line="360" w:lineRule="auto"/>
              <w:ind w:firstLine="480" w:firstLineChars="200"/>
              <w:rPr>
                <w:rFonts w:eastAsia="楷体" w:asciiTheme="minorHAnsi" w:hAnsiTheme="minorHAnsi" w:cstheme="minorHAnsi"/>
                <w:bCs/>
                <w:kern w:val="0"/>
                <w:sz w:val="24"/>
                <w:szCs w:val="28"/>
              </w:rPr>
            </w:pPr>
            <w:r>
              <w:rPr>
                <w:rFonts w:eastAsia="楷体" w:asciiTheme="minorHAnsi" w:hAnsiTheme="minorHAnsi" w:cstheme="minorHAnsi"/>
                <w:bCs/>
                <w:kern w:val="0"/>
                <w:sz w:val="24"/>
                <w:szCs w:val="28"/>
              </w:rPr>
              <w:t>由环模压块成型机将原料挤压成型，秸秆等生物质原料通过压缩成型，不使用添加剂，此时木质素充当了粘合剂。压块机刚出来的成型压块温度为75-85℃，这种状态的压块燃料易破碎，不宜贮运。</w:t>
            </w:r>
          </w:p>
          <w:p>
            <w:pPr>
              <w:widowControl/>
              <w:spacing w:line="360" w:lineRule="auto"/>
              <w:ind w:firstLine="482" w:firstLineChars="200"/>
              <w:rPr>
                <w:rFonts w:eastAsia="楷体" w:asciiTheme="minorHAnsi" w:hAnsiTheme="minorHAnsi" w:cstheme="minorHAnsi"/>
                <w:b/>
                <w:bCs/>
                <w:kern w:val="0"/>
                <w:sz w:val="24"/>
                <w:szCs w:val="28"/>
              </w:rPr>
            </w:pPr>
            <w:r>
              <w:rPr>
                <w:rFonts w:eastAsia="楷体" w:asciiTheme="minorHAnsi" w:hAnsiTheme="minorHAnsi" w:cstheme="minorHAnsi"/>
                <w:b/>
                <w:bCs/>
                <w:kern w:val="0"/>
                <w:sz w:val="24"/>
                <w:szCs w:val="28"/>
              </w:rPr>
              <w:t>（3）辅助配套</w:t>
            </w:r>
          </w:p>
          <w:p>
            <w:pPr>
              <w:widowControl/>
              <w:spacing w:line="360" w:lineRule="auto"/>
              <w:ind w:firstLine="480" w:firstLineChars="200"/>
              <w:rPr>
                <w:rFonts w:eastAsia="楷体" w:asciiTheme="minorHAnsi" w:hAnsiTheme="minorHAnsi" w:cstheme="minorHAnsi"/>
                <w:bCs/>
                <w:kern w:val="0"/>
                <w:sz w:val="24"/>
                <w:szCs w:val="28"/>
              </w:rPr>
            </w:pPr>
            <w:r>
              <w:rPr>
                <w:rFonts w:eastAsia="楷体" w:asciiTheme="minorHAnsi" w:hAnsiTheme="minorHAnsi" w:cstheme="minorHAnsi"/>
                <w:bCs/>
                <w:kern w:val="0"/>
                <w:sz w:val="24"/>
                <w:szCs w:val="28"/>
              </w:rPr>
              <w:t>辅助配套工段包括冷却、除尘、空压、烘干系统、计量包装等工序。</w:t>
            </w:r>
          </w:p>
          <w:p>
            <w:pPr>
              <w:widowControl/>
              <w:spacing w:line="360" w:lineRule="auto"/>
              <w:ind w:firstLine="480" w:firstLineChars="200"/>
              <w:rPr>
                <w:rFonts w:eastAsia="楷体" w:asciiTheme="minorHAnsi" w:hAnsiTheme="minorHAnsi" w:cstheme="minorHAnsi"/>
                <w:bCs/>
                <w:kern w:val="0"/>
                <w:sz w:val="24"/>
                <w:szCs w:val="28"/>
              </w:rPr>
            </w:pPr>
            <w:r>
              <w:rPr>
                <w:rFonts w:eastAsia="楷体" w:asciiTheme="minorHAnsi" w:hAnsiTheme="minorHAnsi" w:cstheme="minorHAnsi"/>
                <w:bCs/>
                <w:kern w:val="0"/>
                <w:sz w:val="24"/>
                <w:szCs w:val="28"/>
              </w:rPr>
              <w:t>冷却：冷却工序将加工成型后不易贮存的高温颗粒进行降温，使其温度能够达到包装储存的条件。整个工艺流程中配有套组合冷却机，通过冷却工序，带走颗粒料的热量和水分。</w:t>
            </w:r>
          </w:p>
          <w:p>
            <w:pPr>
              <w:widowControl/>
              <w:spacing w:line="360" w:lineRule="auto"/>
              <w:ind w:firstLine="480" w:firstLineChars="200"/>
              <w:rPr>
                <w:rFonts w:eastAsia="楷体" w:asciiTheme="minorHAnsi" w:hAnsiTheme="minorHAnsi" w:cstheme="minorHAnsi"/>
                <w:bCs/>
                <w:kern w:val="0"/>
                <w:sz w:val="24"/>
                <w:szCs w:val="28"/>
              </w:rPr>
            </w:pPr>
            <w:r>
              <w:rPr>
                <w:rFonts w:eastAsia="楷体" w:asciiTheme="minorHAnsi" w:hAnsiTheme="minorHAnsi" w:cstheme="minorHAnsi"/>
                <w:bCs/>
                <w:kern w:val="0"/>
                <w:sz w:val="24"/>
                <w:szCs w:val="28"/>
              </w:rPr>
              <w:t>除尘：采用旋风分离、脉冲除尘清除生产加工过程中的粉尘。</w:t>
            </w:r>
          </w:p>
          <w:p>
            <w:pPr>
              <w:widowControl/>
              <w:spacing w:line="360" w:lineRule="auto"/>
              <w:ind w:firstLine="480" w:firstLineChars="200"/>
              <w:rPr>
                <w:rFonts w:eastAsia="楷体" w:asciiTheme="minorHAnsi" w:hAnsiTheme="minorHAnsi" w:cstheme="minorHAnsi"/>
                <w:bCs/>
                <w:kern w:val="0"/>
                <w:sz w:val="24"/>
                <w:szCs w:val="28"/>
              </w:rPr>
            </w:pPr>
            <w:r>
              <w:rPr>
                <w:rFonts w:eastAsia="楷体" w:asciiTheme="minorHAnsi" w:hAnsiTheme="minorHAnsi" w:cstheme="minorHAnsi"/>
                <w:bCs/>
                <w:kern w:val="0"/>
                <w:sz w:val="24"/>
                <w:szCs w:val="28"/>
              </w:rPr>
              <w:t>计量包装：对成品进行计量，实现机器包装。</w:t>
            </w:r>
          </w:p>
          <w:p>
            <w:pPr>
              <w:widowControl/>
              <w:spacing w:line="360" w:lineRule="auto"/>
              <w:ind w:firstLine="480" w:firstLineChars="200"/>
              <w:rPr>
                <w:rFonts w:eastAsia="楷体" w:asciiTheme="minorHAnsi" w:hAnsiTheme="minorHAnsi" w:cstheme="minorHAnsi"/>
                <w:bCs/>
                <w:kern w:val="0"/>
                <w:sz w:val="24"/>
                <w:szCs w:val="28"/>
              </w:rPr>
            </w:pPr>
            <w:r>
              <w:rPr>
                <w:rFonts w:eastAsia="楷体" w:asciiTheme="minorHAnsi" w:hAnsiTheme="minorHAnsi" w:cstheme="minorHAnsi"/>
                <w:bCs/>
                <w:kern w:val="0"/>
                <w:sz w:val="24"/>
                <w:szCs w:val="28"/>
              </w:rPr>
              <w:t>生产工艺流程如图Z8所示。</w:t>
            </w:r>
          </w:p>
          <w:p>
            <w:pPr>
              <w:pStyle w:val="32"/>
              <w:widowControl/>
              <w:spacing w:line="240" w:lineRule="auto"/>
              <w:rPr>
                <w:rFonts w:asciiTheme="minorHAnsi" w:hAnsiTheme="minorHAnsi" w:cstheme="minorHAnsi"/>
              </w:rPr>
            </w:pPr>
            <w:r>
              <w:rPr>
                <w:rFonts w:asciiTheme="minorHAnsi" w:hAnsiTheme="minorHAnsi" w:cstheme="minorHAnsi"/>
              </w:rPr>
              <w:drawing>
                <wp:inline distT="0" distB="0" distL="0" distR="0">
                  <wp:extent cx="4023360" cy="23139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046534" cy="2327683"/>
                          </a:xfrm>
                          <a:prstGeom prst="rect">
                            <a:avLst/>
                          </a:prstGeom>
                          <a:noFill/>
                        </pic:spPr>
                      </pic:pic>
                    </a:graphicData>
                  </a:graphic>
                </wp:inline>
              </w:drawing>
            </w:r>
          </w:p>
          <w:p>
            <w:pPr>
              <w:widowControl/>
              <w:spacing w:line="240" w:lineRule="auto"/>
              <w:jc w:val="center"/>
              <w:rPr>
                <w:rFonts w:asciiTheme="minorHAnsi" w:hAnsiTheme="minorHAnsi" w:cstheme="minorHAnsi"/>
                <w:b/>
                <w:bCs/>
                <w:sz w:val="24"/>
                <w:szCs w:val="21"/>
              </w:rPr>
            </w:pPr>
            <w:r>
              <w:rPr>
                <w:rFonts w:asciiTheme="minorHAnsi" w:hAnsiTheme="minorHAnsi" w:cstheme="minorHAnsi"/>
                <w:b/>
                <w:bCs/>
                <w:sz w:val="21"/>
                <w:szCs w:val="18"/>
              </w:rPr>
              <w:t>图Z8 生物质成型燃料生产工艺流程</w:t>
            </w:r>
          </w:p>
        </w:tc>
      </w:tr>
    </w:tbl>
    <w:p>
      <w:pPr>
        <w:pStyle w:val="4"/>
        <w:rPr>
          <w:rFonts w:cstheme="minorHAnsi"/>
        </w:rPr>
      </w:pPr>
      <w:r>
        <w:rPr>
          <w:rFonts w:cstheme="minorHAnsi"/>
        </w:rPr>
        <w:t>2．秸秆-果树枝条基料化利用</w:t>
      </w:r>
    </w:p>
    <w:p>
      <w:pPr>
        <w:widowControl/>
        <w:ind w:firstLine="562" w:firstLineChars="200"/>
        <w:rPr>
          <w:rFonts w:asciiTheme="minorHAnsi" w:hAnsiTheme="minorHAnsi" w:cstheme="minorHAnsi"/>
          <w:bCs/>
          <w:kern w:val="0"/>
          <w:szCs w:val="28"/>
        </w:rPr>
      </w:pPr>
      <w:r>
        <w:rPr>
          <w:rFonts w:hint="eastAsia" w:asciiTheme="minorHAnsi" w:hAnsiTheme="minorHAnsi" w:cstheme="minorHAnsi"/>
          <w:b/>
        </w:rPr>
        <w:t>支持</w:t>
      </w:r>
      <w:r>
        <w:rPr>
          <w:rFonts w:asciiTheme="minorHAnsi" w:hAnsiTheme="minorHAnsi" w:cstheme="minorHAnsi"/>
          <w:b/>
        </w:rPr>
        <w:t>内容：</w:t>
      </w:r>
      <w:r>
        <w:rPr>
          <w:rFonts w:asciiTheme="minorHAnsi" w:hAnsiTheme="minorHAnsi" w:cstheme="minorHAnsi"/>
        </w:rPr>
        <w:t>结合食用菌种植专业合作社</w:t>
      </w:r>
      <w:r>
        <w:rPr>
          <w:rFonts w:hint="eastAsia" w:asciiTheme="minorHAnsi" w:hAnsiTheme="minorHAnsi" w:cstheme="minorHAnsi"/>
        </w:rPr>
        <w:t>需求</w:t>
      </w:r>
      <w:r>
        <w:rPr>
          <w:rFonts w:asciiTheme="minorHAnsi" w:hAnsiTheme="minorHAnsi" w:cstheme="minorHAnsi"/>
        </w:rPr>
        <w:t>，提升现有收储运站点，推广示范果树枝条、菌菇基质废料等制备花卉无土栽培、果蔬穴盘育秧苗、盆栽花卉生长基等基质循环利用技术</w:t>
      </w:r>
      <w:r>
        <w:rPr>
          <w:rFonts w:asciiTheme="minorHAnsi" w:hAnsiTheme="minorHAnsi" w:cstheme="minorHAnsi"/>
          <w:bCs/>
          <w:kern w:val="0"/>
          <w:szCs w:val="28"/>
        </w:rPr>
        <w:t>。</w:t>
      </w:r>
    </w:p>
    <w:p>
      <w:pPr>
        <w:widowControl/>
        <w:ind w:firstLine="560" w:firstLineChars="200"/>
        <w:rPr>
          <w:rFonts w:asciiTheme="minorHAnsi" w:hAnsiTheme="minorHAnsi" w:cstheme="minorHAnsi"/>
          <w:bCs/>
          <w:kern w:val="0"/>
          <w:szCs w:val="28"/>
        </w:rPr>
      </w:pPr>
    </w:p>
    <w:tbl>
      <w:tblPr>
        <w:tblStyle w:val="1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tcPr>
          <w:p>
            <w:pPr>
              <w:widowControl/>
              <w:spacing w:before="156" w:beforeLines="50" w:after="156" w:afterLines="50"/>
              <w:jc w:val="center"/>
              <w:rPr>
                <w:rFonts w:eastAsia="黑体" w:asciiTheme="minorHAnsi" w:hAnsiTheme="minorHAnsi" w:cstheme="minorHAnsi"/>
                <w:kern w:val="0"/>
                <w:sz w:val="24"/>
                <w:szCs w:val="24"/>
              </w:rPr>
            </w:pPr>
            <w:r>
              <w:rPr>
                <w:rFonts w:eastAsia="黑体" w:asciiTheme="minorHAnsi" w:hAnsiTheme="minorHAnsi" w:cstheme="minorHAnsi"/>
                <w:kern w:val="0"/>
                <w:sz w:val="24"/>
                <w:szCs w:val="24"/>
              </w:rPr>
              <w:t>专栏七：基料化典型技术模式</w:t>
            </w:r>
          </w:p>
          <w:p>
            <w:pPr>
              <w:widowControl/>
              <w:spacing w:line="360" w:lineRule="auto"/>
              <w:ind w:firstLine="482" w:firstLineChars="200"/>
              <w:jc w:val="left"/>
              <w:rPr>
                <w:rFonts w:asciiTheme="minorHAnsi" w:hAnsiTheme="minorHAnsi" w:cstheme="minorHAnsi"/>
                <w:b/>
                <w:bCs/>
                <w:sz w:val="24"/>
                <w:szCs w:val="24"/>
              </w:rPr>
            </w:pPr>
            <w:r>
              <w:rPr>
                <w:rFonts w:asciiTheme="minorHAnsi" w:hAnsiTheme="minorHAnsi" w:cstheme="minorHAnsi"/>
                <w:b/>
                <w:bCs/>
                <w:sz w:val="24"/>
                <w:szCs w:val="24"/>
              </w:rPr>
              <w:t>（一）秸秆果木剪枝食用菌栽培技术模式</w:t>
            </w:r>
          </w:p>
          <w:p>
            <w:pPr>
              <w:pStyle w:val="41"/>
              <w:widowControl/>
              <w:spacing w:line="360" w:lineRule="auto"/>
              <w:rPr>
                <w:rFonts w:asciiTheme="minorHAnsi" w:hAnsiTheme="minorHAnsi" w:cstheme="minorHAnsi"/>
              </w:rPr>
            </w:pPr>
            <w:r>
              <w:rPr>
                <w:rFonts w:asciiTheme="minorHAnsi" w:hAnsiTheme="minorHAnsi" w:cstheme="minorHAnsi"/>
              </w:rPr>
              <w:t>【技术原理与特点】</w:t>
            </w:r>
          </w:p>
          <w:p>
            <w:pPr>
              <w:widowControl/>
              <w:spacing w:line="360" w:lineRule="auto"/>
              <w:ind w:firstLine="480" w:firstLineChars="200"/>
              <w:rPr>
                <w:rFonts w:eastAsia="楷体" w:asciiTheme="minorHAnsi" w:hAnsiTheme="minorHAnsi" w:cstheme="minorHAnsi"/>
                <w:bCs/>
                <w:kern w:val="0"/>
                <w:sz w:val="24"/>
                <w:szCs w:val="28"/>
              </w:rPr>
            </w:pPr>
            <w:r>
              <w:rPr>
                <w:rFonts w:eastAsia="楷体" w:asciiTheme="minorHAnsi" w:hAnsiTheme="minorHAnsi" w:cstheme="minorHAnsi"/>
                <w:bCs/>
                <w:kern w:val="0"/>
                <w:sz w:val="24"/>
                <w:szCs w:val="28"/>
              </w:rPr>
              <w:t>该技术指以秸秆果木剪枝为主要原料生产食用菌，包括栽培草腐菌类技术和栽培木腐菌类技术两大类，生产的草腐菌主要有双孢蘑菇、草菇、鸡腿菇、大球盖菇等，生产的木腐菌主要有香菇、平菇、金针菇、茶树菇等。</w:t>
            </w:r>
          </w:p>
          <w:p>
            <w:pPr>
              <w:pStyle w:val="41"/>
              <w:widowControl/>
              <w:spacing w:line="360" w:lineRule="auto"/>
              <w:rPr>
                <w:rFonts w:asciiTheme="minorHAnsi" w:hAnsiTheme="minorHAnsi" w:cstheme="minorHAnsi"/>
              </w:rPr>
            </w:pPr>
            <w:r>
              <w:rPr>
                <w:rFonts w:asciiTheme="minorHAnsi" w:hAnsiTheme="minorHAnsi" w:cstheme="minorHAnsi"/>
              </w:rPr>
              <w:t>【技术流程】</w:t>
            </w:r>
          </w:p>
          <w:p>
            <w:pPr>
              <w:widowControl/>
              <w:spacing w:line="360" w:lineRule="auto"/>
              <w:ind w:firstLine="480" w:firstLineChars="200"/>
              <w:rPr>
                <w:rFonts w:eastAsia="楷体" w:asciiTheme="minorHAnsi" w:hAnsiTheme="minorHAnsi" w:cstheme="minorHAnsi"/>
                <w:bCs/>
                <w:kern w:val="0"/>
                <w:sz w:val="24"/>
                <w:szCs w:val="28"/>
              </w:rPr>
            </w:pPr>
            <w:r>
              <w:rPr>
                <w:rFonts w:eastAsia="楷体" w:asciiTheme="minorHAnsi" w:hAnsiTheme="minorHAnsi" w:cstheme="minorHAnsi"/>
                <w:bCs/>
                <w:kern w:val="0"/>
                <w:sz w:val="24"/>
                <w:szCs w:val="28"/>
              </w:rPr>
              <w:t>技术环节主要分为秸秆枝条收集、粉碎和培养料配比，如图Z9所示，其他栽培技术环节与常规菇木树屑栽培食用菌相差不大。</w:t>
            </w:r>
          </w:p>
          <w:p>
            <w:pPr>
              <w:widowControl/>
              <w:spacing w:line="360" w:lineRule="auto"/>
              <w:ind w:firstLine="482" w:firstLineChars="200"/>
              <w:rPr>
                <w:rFonts w:eastAsia="楷体" w:asciiTheme="minorHAnsi" w:hAnsiTheme="minorHAnsi" w:cstheme="minorHAnsi"/>
                <w:bCs/>
                <w:kern w:val="0"/>
                <w:sz w:val="24"/>
                <w:szCs w:val="28"/>
              </w:rPr>
            </w:pPr>
            <w:r>
              <w:rPr>
                <w:rFonts w:eastAsia="楷体" w:asciiTheme="minorHAnsi" w:hAnsiTheme="minorHAnsi" w:cstheme="minorHAnsi"/>
                <w:b/>
                <w:bCs/>
                <w:kern w:val="0"/>
                <w:sz w:val="24"/>
                <w:szCs w:val="28"/>
              </w:rPr>
              <w:t>秸秆枝条收集和粉碎。</w:t>
            </w:r>
            <w:r>
              <w:rPr>
                <w:rFonts w:eastAsia="楷体" w:asciiTheme="minorHAnsi" w:hAnsiTheme="minorHAnsi" w:cstheme="minorHAnsi"/>
                <w:bCs/>
                <w:kern w:val="0"/>
                <w:sz w:val="24"/>
                <w:szCs w:val="28"/>
              </w:rPr>
              <w:t>将秸秆与修剪下来的果枝晒干，用粉碎机粉碎加工成2毫米大小的木屑，贮于干燥处备用。</w:t>
            </w:r>
          </w:p>
          <w:p>
            <w:pPr>
              <w:widowControl/>
              <w:spacing w:line="360" w:lineRule="auto"/>
              <w:ind w:firstLine="482" w:firstLineChars="200"/>
              <w:rPr>
                <w:rFonts w:eastAsia="楷体" w:asciiTheme="minorHAnsi" w:hAnsiTheme="minorHAnsi" w:cstheme="minorHAnsi"/>
                <w:b/>
                <w:bCs/>
                <w:kern w:val="0"/>
                <w:sz w:val="24"/>
                <w:szCs w:val="28"/>
              </w:rPr>
            </w:pPr>
            <w:r>
              <w:rPr>
                <w:rFonts w:eastAsia="楷体" w:asciiTheme="minorHAnsi" w:hAnsiTheme="minorHAnsi" w:cstheme="minorHAnsi"/>
                <w:b/>
                <w:bCs/>
                <w:kern w:val="0"/>
                <w:sz w:val="24"/>
                <w:szCs w:val="28"/>
              </w:rPr>
              <w:t>菌种制作。</w:t>
            </w:r>
            <w:r>
              <w:rPr>
                <w:rFonts w:eastAsia="楷体" w:asciiTheme="minorHAnsi" w:hAnsiTheme="minorHAnsi" w:cstheme="minorHAnsi"/>
                <w:bCs/>
                <w:kern w:val="0"/>
                <w:sz w:val="24"/>
                <w:szCs w:val="28"/>
              </w:rPr>
              <w:t>母种培养基采用PDA或添加0.5%蛋白胨的加富PDA，原种可采用麦粒培养基。菌种制作过程中应严格操作，从源头严把质量关。</w:t>
            </w:r>
          </w:p>
          <w:p>
            <w:pPr>
              <w:widowControl/>
              <w:spacing w:line="360" w:lineRule="auto"/>
              <w:ind w:firstLine="482" w:firstLineChars="200"/>
              <w:rPr>
                <w:rFonts w:eastAsia="楷体" w:asciiTheme="minorHAnsi" w:hAnsiTheme="minorHAnsi" w:cstheme="minorHAnsi"/>
                <w:bCs/>
                <w:kern w:val="0"/>
                <w:sz w:val="24"/>
                <w:szCs w:val="28"/>
              </w:rPr>
            </w:pPr>
            <w:r>
              <w:rPr>
                <w:rFonts w:eastAsia="楷体" w:asciiTheme="minorHAnsi" w:hAnsiTheme="minorHAnsi" w:cstheme="minorHAnsi"/>
                <w:b/>
                <w:bCs/>
                <w:kern w:val="0"/>
                <w:sz w:val="24"/>
                <w:szCs w:val="28"/>
              </w:rPr>
              <w:t>培养料配比。</w:t>
            </w:r>
            <w:r>
              <w:rPr>
                <w:rFonts w:eastAsia="楷体" w:asciiTheme="minorHAnsi" w:hAnsiTheme="minorHAnsi" w:cstheme="minorHAnsi"/>
                <w:bCs/>
                <w:kern w:val="0"/>
                <w:sz w:val="24"/>
                <w:szCs w:val="28"/>
              </w:rPr>
              <w:t>为避免树种过于单一，也可将果枝木屑与其他杂木屑混合使用，配方比主要为：果枝木屑73%、麸皮20%、玉米粉5%、石膏1%、红糖1%，调节含水量为60%-65 %，调节pH 7.0左右，栽培料混合搅拌均匀后，即可装袋。</w:t>
            </w:r>
          </w:p>
          <w:p>
            <w:pPr>
              <w:widowControl/>
              <w:spacing w:line="360" w:lineRule="auto"/>
              <w:ind w:firstLine="482" w:firstLineChars="200"/>
              <w:rPr>
                <w:rFonts w:eastAsia="楷体" w:asciiTheme="minorHAnsi" w:hAnsiTheme="minorHAnsi" w:cstheme="minorHAnsi"/>
                <w:bCs/>
                <w:kern w:val="0"/>
                <w:sz w:val="24"/>
                <w:szCs w:val="28"/>
              </w:rPr>
            </w:pPr>
            <w:r>
              <w:rPr>
                <w:rFonts w:eastAsia="楷体" w:asciiTheme="minorHAnsi" w:hAnsiTheme="minorHAnsi" w:cstheme="minorHAnsi"/>
                <w:b/>
                <w:bCs/>
                <w:kern w:val="0"/>
                <w:sz w:val="24"/>
                <w:szCs w:val="28"/>
              </w:rPr>
              <w:t>装袋灭菌。</w:t>
            </w:r>
            <w:r>
              <w:rPr>
                <w:rFonts w:eastAsia="楷体" w:asciiTheme="minorHAnsi" w:hAnsiTheme="minorHAnsi" w:cstheme="minorHAnsi"/>
                <w:bCs/>
                <w:kern w:val="0"/>
                <w:sz w:val="24"/>
                <w:szCs w:val="28"/>
              </w:rPr>
              <w:t>装袋完毕后，在料中央打一通气孔，两端扎口。在1.5kg/cm</w:t>
            </w:r>
            <w:r>
              <w:rPr>
                <w:rFonts w:eastAsia="楷体" w:asciiTheme="minorHAnsi" w:hAnsiTheme="minorHAnsi" w:cstheme="minorHAnsi"/>
                <w:bCs/>
                <w:kern w:val="0"/>
                <w:sz w:val="24"/>
                <w:szCs w:val="28"/>
                <w:vertAlign w:val="superscript"/>
              </w:rPr>
              <w:t>2</w:t>
            </w:r>
            <w:r>
              <w:rPr>
                <w:rFonts w:eastAsia="楷体" w:asciiTheme="minorHAnsi" w:hAnsiTheme="minorHAnsi" w:cstheme="minorHAnsi"/>
                <w:bCs/>
                <w:kern w:val="0"/>
                <w:sz w:val="24"/>
                <w:szCs w:val="28"/>
              </w:rPr>
              <w:t xml:space="preserve"> 压力下蒸汽灭菌2-3 h或采用100℃常压灭菌12-24 h。</w:t>
            </w:r>
          </w:p>
          <w:p>
            <w:pPr>
              <w:widowControl/>
              <w:spacing w:line="360" w:lineRule="auto"/>
              <w:ind w:firstLine="482" w:firstLineChars="200"/>
              <w:rPr>
                <w:rFonts w:eastAsia="楷体" w:asciiTheme="minorHAnsi" w:hAnsiTheme="minorHAnsi" w:cstheme="minorHAnsi"/>
                <w:bCs/>
                <w:kern w:val="0"/>
                <w:sz w:val="24"/>
                <w:szCs w:val="28"/>
              </w:rPr>
            </w:pPr>
            <w:r>
              <w:rPr>
                <w:rFonts w:eastAsia="楷体" w:asciiTheme="minorHAnsi" w:hAnsiTheme="minorHAnsi" w:cstheme="minorHAnsi"/>
                <w:b/>
                <w:bCs/>
                <w:kern w:val="0"/>
                <w:sz w:val="24"/>
                <w:szCs w:val="28"/>
              </w:rPr>
              <w:t>接种培养。</w:t>
            </w:r>
            <w:r>
              <w:rPr>
                <w:rFonts w:eastAsia="楷体" w:asciiTheme="minorHAnsi" w:hAnsiTheme="minorHAnsi" w:cstheme="minorHAnsi"/>
                <w:bCs/>
                <w:kern w:val="0"/>
                <w:sz w:val="24"/>
                <w:szCs w:val="28"/>
              </w:rPr>
              <w:t>待料袋冷却至30℃左右时，按常规无菌操作接种，置于25-28 ℃条件下发菌培养，一般经30-35天菌丝可长满袋。</w:t>
            </w:r>
          </w:p>
          <w:p>
            <w:pPr>
              <w:pStyle w:val="32"/>
              <w:widowControl/>
              <w:spacing w:before="156" w:beforeLines="50" w:after="156" w:afterLines="50"/>
              <w:rPr>
                <w:rFonts w:asciiTheme="minorHAnsi" w:hAnsiTheme="minorHAnsi" w:cstheme="minorHAnsi"/>
              </w:rPr>
            </w:pPr>
            <w:r>
              <w:rPr>
                <w:rFonts w:asciiTheme="minorHAnsi" w:hAnsiTheme="minorHAnsi" w:cstheme="minorHAnsi"/>
              </w:rPr>
              <w:drawing>
                <wp:inline distT="0" distB="0" distL="0" distR="0">
                  <wp:extent cx="5086985" cy="300990"/>
                  <wp:effectExtent l="0" t="0" r="0"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161190" cy="305375"/>
                          </a:xfrm>
                          <a:prstGeom prst="rect">
                            <a:avLst/>
                          </a:prstGeom>
                          <a:noFill/>
                        </pic:spPr>
                      </pic:pic>
                    </a:graphicData>
                  </a:graphic>
                </wp:inline>
              </w:drawing>
            </w:r>
          </w:p>
          <w:p>
            <w:pPr>
              <w:pStyle w:val="32"/>
              <w:widowControl/>
              <w:spacing w:line="360" w:lineRule="auto"/>
              <w:rPr>
                <w:rFonts w:asciiTheme="minorHAnsi" w:hAnsiTheme="minorHAnsi" w:cstheme="minorHAnsi"/>
              </w:rPr>
            </w:pPr>
            <w:r>
              <w:rPr>
                <w:rFonts w:asciiTheme="minorHAnsi" w:hAnsiTheme="minorHAnsi" w:cstheme="minorHAnsi"/>
                <w:sz w:val="22"/>
                <w:szCs w:val="20"/>
              </w:rPr>
              <w:t>图Z9 秸秆果木剪枝食用菌菌棒生产工艺流程</w:t>
            </w:r>
          </w:p>
          <w:p>
            <w:pPr>
              <w:widowControl/>
              <w:spacing w:line="360" w:lineRule="auto"/>
              <w:ind w:firstLine="482" w:firstLineChars="200"/>
              <w:jc w:val="left"/>
              <w:rPr>
                <w:rFonts w:asciiTheme="minorHAnsi" w:hAnsiTheme="minorHAnsi" w:cstheme="minorHAnsi"/>
                <w:b/>
                <w:bCs/>
                <w:sz w:val="24"/>
                <w:szCs w:val="24"/>
              </w:rPr>
            </w:pPr>
            <w:r>
              <w:rPr>
                <w:rFonts w:eastAsia="黑体" w:asciiTheme="minorHAnsi" w:hAnsiTheme="minorHAnsi" w:cstheme="minorHAnsi"/>
                <w:b/>
                <w:bCs/>
                <w:sz w:val="24"/>
                <w:szCs w:val="24"/>
              </w:rPr>
              <w:t>（</w:t>
            </w:r>
            <w:r>
              <w:rPr>
                <w:rFonts w:asciiTheme="minorHAnsi" w:hAnsiTheme="minorHAnsi" w:cstheme="minorHAnsi"/>
                <w:b/>
                <w:bCs/>
                <w:sz w:val="24"/>
                <w:szCs w:val="24"/>
              </w:rPr>
              <w:t>二）果树枝条育秧苗基质利用技术模式</w:t>
            </w:r>
          </w:p>
          <w:p>
            <w:pPr>
              <w:pStyle w:val="41"/>
              <w:widowControl/>
              <w:spacing w:line="360" w:lineRule="auto"/>
              <w:rPr>
                <w:rFonts w:asciiTheme="minorHAnsi" w:hAnsiTheme="minorHAnsi" w:cstheme="minorHAnsi"/>
              </w:rPr>
            </w:pPr>
            <w:r>
              <w:rPr>
                <w:rFonts w:asciiTheme="minorHAnsi" w:hAnsiTheme="minorHAnsi" w:cstheme="minorHAnsi"/>
              </w:rPr>
              <w:t>【技术原理与特点】</w:t>
            </w:r>
          </w:p>
          <w:p>
            <w:pPr>
              <w:pStyle w:val="41"/>
              <w:widowControl/>
              <w:spacing w:line="360" w:lineRule="auto"/>
              <w:rPr>
                <w:rFonts w:asciiTheme="minorHAnsi" w:hAnsiTheme="minorHAnsi" w:cstheme="minorHAnsi"/>
              </w:rPr>
            </w:pPr>
            <w:r>
              <w:rPr>
                <w:rFonts w:asciiTheme="minorHAnsi" w:hAnsiTheme="minorHAnsi" w:cstheme="minorHAnsi"/>
              </w:rPr>
              <w:t>该技术秸秆、果树枝条为原料，经粉碎、腐熟发酵、C/N调节等制备植物腐殖质基质，产品主要用于园林、育种等无土栽培基质。</w:t>
            </w:r>
          </w:p>
          <w:p>
            <w:pPr>
              <w:pStyle w:val="41"/>
              <w:widowControl/>
              <w:spacing w:line="360" w:lineRule="auto"/>
              <w:rPr>
                <w:rFonts w:asciiTheme="minorHAnsi" w:hAnsiTheme="minorHAnsi" w:cstheme="minorHAnsi"/>
              </w:rPr>
            </w:pPr>
            <w:r>
              <w:rPr>
                <w:rFonts w:asciiTheme="minorHAnsi" w:hAnsiTheme="minorHAnsi" w:cstheme="minorHAnsi"/>
              </w:rPr>
              <w:t>【技术流程】</w:t>
            </w:r>
          </w:p>
          <w:p>
            <w:pPr>
              <w:widowControl/>
              <w:spacing w:line="360" w:lineRule="auto"/>
              <w:ind w:firstLine="480" w:firstLineChars="200"/>
              <w:rPr>
                <w:rFonts w:eastAsia="楷体" w:asciiTheme="minorHAnsi" w:hAnsiTheme="minorHAnsi" w:cstheme="minorHAnsi"/>
                <w:bCs/>
                <w:kern w:val="0"/>
                <w:sz w:val="24"/>
                <w:szCs w:val="28"/>
              </w:rPr>
            </w:pPr>
            <w:r>
              <w:rPr>
                <w:rFonts w:eastAsia="楷体" w:asciiTheme="minorHAnsi" w:hAnsiTheme="minorHAnsi" w:cstheme="minorHAnsi"/>
                <w:bCs/>
                <w:kern w:val="0"/>
                <w:sz w:val="24"/>
                <w:szCs w:val="28"/>
              </w:rPr>
              <w:t>该技术模式工艺流程主要包括木屑腐熟、氮肥调制、混合包装、密封存放等步骤，具体如下，如图Z10所示。</w:t>
            </w:r>
          </w:p>
          <w:p>
            <w:pPr>
              <w:widowControl/>
              <w:spacing w:line="360" w:lineRule="auto"/>
              <w:ind w:firstLine="482" w:firstLineChars="200"/>
              <w:rPr>
                <w:rFonts w:eastAsia="楷体" w:asciiTheme="minorHAnsi" w:hAnsiTheme="minorHAnsi" w:cstheme="minorHAnsi"/>
                <w:bCs/>
                <w:kern w:val="0"/>
                <w:sz w:val="24"/>
                <w:szCs w:val="28"/>
              </w:rPr>
            </w:pPr>
            <w:r>
              <w:rPr>
                <w:rFonts w:eastAsia="楷体" w:asciiTheme="minorHAnsi" w:hAnsiTheme="minorHAnsi" w:cstheme="minorHAnsi"/>
                <w:b/>
                <w:bCs/>
                <w:kern w:val="0"/>
                <w:sz w:val="24"/>
                <w:szCs w:val="28"/>
              </w:rPr>
              <w:t>腐熟果木木屑的制备。</w:t>
            </w:r>
            <w:r>
              <w:rPr>
                <w:rFonts w:eastAsia="楷体" w:asciiTheme="minorHAnsi" w:hAnsiTheme="minorHAnsi" w:cstheme="minorHAnsi"/>
                <w:bCs/>
                <w:kern w:val="0"/>
                <w:sz w:val="24"/>
                <w:szCs w:val="28"/>
              </w:rPr>
              <w:t>把废弃的果树枝条粉碎成果木木屑，将果木木屑铺于深1-1.5m的腐熟坑中；加水使果木木屑湿润，保持含水率60-70%；用泥土覆盖果木木屑，果木木屑堆温度55-65℃时开始翻倒，每天一次，春季15-25天，夏季7-15天果木木屑堆腐熟完成，备用；</w:t>
            </w:r>
          </w:p>
          <w:p>
            <w:pPr>
              <w:widowControl/>
              <w:spacing w:line="360" w:lineRule="auto"/>
              <w:ind w:firstLine="482" w:firstLineChars="200"/>
              <w:rPr>
                <w:rFonts w:eastAsia="楷体" w:asciiTheme="minorHAnsi" w:hAnsiTheme="minorHAnsi" w:cstheme="minorHAnsi"/>
                <w:bCs/>
                <w:kern w:val="0"/>
                <w:sz w:val="24"/>
                <w:szCs w:val="28"/>
              </w:rPr>
            </w:pPr>
            <w:r>
              <w:rPr>
                <w:rFonts w:eastAsia="楷体" w:asciiTheme="minorHAnsi" w:hAnsiTheme="minorHAnsi" w:cstheme="minorHAnsi"/>
                <w:b/>
                <w:bCs/>
                <w:kern w:val="0"/>
                <w:sz w:val="24"/>
                <w:szCs w:val="28"/>
              </w:rPr>
              <w:t>氮肥或腐熟剂的调制。</w:t>
            </w:r>
            <w:r>
              <w:rPr>
                <w:rFonts w:eastAsia="楷体" w:asciiTheme="minorHAnsi" w:hAnsiTheme="minorHAnsi" w:cstheme="minorHAnsi"/>
                <w:bCs/>
                <w:kern w:val="0"/>
                <w:sz w:val="24"/>
                <w:szCs w:val="28"/>
              </w:rPr>
              <w:t>将制备好的腐熟果木木屑与氮肥或腐熟剂进行搅拌混合；或将氮肥或腐熟剂与红糖，水按照1:1:20的比例加入腐熟果木木屑中，每隔1-2小时搅拌，并活化8-24小时，即可制备出腐熟果木木屑营养混合料，备用；</w:t>
            </w:r>
          </w:p>
          <w:p>
            <w:pPr>
              <w:widowControl/>
              <w:spacing w:line="360" w:lineRule="auto"/>
              <w:ind w:firstLine="482" w:firstLineChars="200"/>
              <w:rPr>
                <w:rFonts w:eastAsia="楷体" w:asciiTheme="minorHAnsi" w:hAnsiTheme="minorHAnsi" w:cstheme="minorHAnsi"/>
                <w:bCs/>
                <w:kern w:val="0"/>
                <w:sz w:val="24"/>
                <w:szCs w:val="28"/>
              </w:rPr>
            </w:pPr>
            <w:r>
              <w:rPr>
                <w:rFonts w:eastAsia="楷体" w:asciiTheme="minorHAnsi" w:hAnsiTheme="minorHAnsi" w:cstheme="minorHAnsi"/>
                <w:b/>
                <w:bCs/>
                <w:kern w:val="0"/>
                <w:sz w:val="24"/>
                <w:szCs w:val="28"/>
              </w:rPr>
              <w:t>混合包装。</w:t>
            </w:r>
            <w:r>
              <w:rPr>
                <w:rFonts w:eastAsia="楷体" w:asciiTheme="minorHAnsi" w:hAnsiTheme="minorHAnsi" w:cstheme="minorHAnsi"/>
                <w:bCs/>
                <w:kern w:val="0"/>
                <w:sz w:val="24"/>
                <w:szCs w:val="28"/>
              </w:rPr>
              <w:t>将制备好的腐熟果木木屑营养混合料与蛭石混合包装，即可配制成有机活性无土栽培基质成品。</w:t>
            </w:r>
          </w:p>
          <w:p>
            <w:pPr>
              <w:widowControl/>
              <w:spacing w:line="360" w:lineRule="auto"/>
              <w:ind w:firstLine="482" w:firstLineChars="200"/>
              <w:rPr>
                <w:rFonts w:eastAsia="楷体" w:asciiTheme="minorHAnsi" w:hAnsiTheme="minorHAnsi" w:cstheme="minorHAnsi"/>
                <w:bCs/>
                <w:kern w:val="0"/>
                <w:sz w:val="24"/>
                <w:szCs w:val="28"/>
              </w:rPr>
            </w:pPr>
            <w:r>
              <w:rPr>
                <w:rFonts w:eastAsia="楷体" w:asciiTheme="minorHAnsi" w:hAnsiTheme="minorHAnsi" w:cstheme="minorHAnsi"/>
                <w:b/>
                <w:bCs/>
                <w:kern w:val="0"/>
                <w:sz w:val="24"/>
                <w:szCs w:val="28"/>
              </w:rPr>
              <w:t>密封放置。</w:t>
            </w:r>
            <w:r>
              <w:rPr>
                <w:rFonts w:eastAsia="楷体" w:asciiTheme="minorHAnsi" w:hAnsiTheme="minorHAnsi" w:cstheme="minorHAnsi"/>
                <w:bCs/>
                <w:kern w:val="0"/>
                <w:sz w:val="24"/>
                <w:szCs w:val="28"/>
              </w:rPr>
              <w:t>按每立方米有机活性无土栽培基质成品加入3%的硫酸亚铁水溶液20kg，或按每立方米有机活性无土栽培基质成品加入40%的福尔马林500倍液500ml的用量，搅拌均匀，密封24-48小时即可。</w:t>
            </w:r>
          </w:p>
          <w:p>
            <w:pPr>
              <w:pStyle w:val="32"/>
              <w:widowControl/>
              <w:spacing w:before="156" w:beforeLines="50" w:after="156" w:afterLines="50"/>
              <w:rPr>
                <w:rFonts w:asciiTheme="minorHAnsi" w:hAnsiTheme="minorHAnsi" w:cstheme="minorHAnsi"/>
              </w:rPr>
            </w:pPr>
            <w:r>
              <w:rPr>
                <w:rFonts w:asciiTheme="minorHAnsi" w:hAnsiTheme="minorHAnsi" w:cstheme="minorHAnsi"/>
              </w:rPr>
              <w:drawing>
                <wp:inline distT="0" distB="0" distL="0" distR="0">
                  <wp:extent cx="5055235" cy="36893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58998" cy="384337"/>
                          </a:xfrm>
                          <a:prstGeom prst="rect">
                            <a:avLst/>
                          </a:prstGeom>
                          <a:noFill/>
                        </pic:spPr>
                      </pic:pic>
                    </a:graphicData>
                  </a:graphic>
                </wp:inline>
              </w:drawing>
            </w:r>
          </w:p>
          <w:p>
            <w:pPr>
              <w:pStyle w:val="32"/>
              <w:widowControl/>
              <w:spacing w:line="360" w:lineRule="auto"/>
              <w:rPr>
                <w:rFonts w:asciiTheme="minorHAnsi" w:hAnsiTheme="minorHAnsi" w:cstheme="minorHAnsi"/>
              </w:rPr>
            </w:pPr>
            <w:r>
              <w:rPr>
                <w:rFonts w:asciiTheme="minorHAnsi" w:hAnsiTheme="minorHAnsi" w:cstheme="minorHAnsi"/>
                <w:sz w:val="22"/>
                <w:szCs w:val="20"/>
              </w:rPr>
              <w:t>图Z10 育秧苗基质生产工艺流程</w:t>
            </w:r>
          </w:p>
        </w:tc>
      </w:tr>
    </w:tbl>
    <w:p>
      <w:pPr>
        <w:pStyle w:val="4"/>
        <w:rPr>
          <w:rFonts w:cstheme="minorHAnsi"/>
        </w:rPr>
      </w:pPr>
      <w:r>
        <w:rPr>
          <w:rFonts w:cstheme="minorHAnsi"/>
        </w:rPr>
        <w:t>3．秸秆-果树枝条原料化利用</w:t>
      </w:r>
    </w:p>
    <w:p>
      <w:pPr>
        <w:widowControl/>
        <w:ind w:firstLine="562" w:firstLineChars="200"/>
        <w:rPr>
          <w:rFonts w:asciiTheme="minorHAnsi" w:hAnsiTheme="minorHAnsi" w:cstheme="minorHAnsi"/>
        </w:rPr>
      </w:pPr>
      <w:r>
        <w:rPr>
          <w:rFonts w:hint="eastAsia" w:asciiTheme="minorHAnsi" w:hAnsiTheme="minorHAnsi" w:cstheme="minorHAnsi"/>
          <w:b/>
        </w:rPr>
        <w:t>支持</w:t>
      </w:r>
      <w:r>
        <w:rPr>
          <w:rFonts w:asciiTheme="minorHAnsi" w:hAnsiTheme="minorHAnsi" w:cstheme="minorHAnsi"/>
          <w:b/>
        </w:rPr>
        <w:t>内容：</w:t>
      </w:r>
      <w:r>
        <w:rPr>
          <w:rFonts w:hint="eastAsia" w:asciiTheme="minorHAnsi" w:hAnsiTheme="minorHAnsi" w:cstheme="minorHAnsi"/>
        </w:rPr>
        <w:t>结合市场需求，</w:t>
      </w:r>
      <w:r>
        <w:rPr>
          <w:rFonts w:asciiTheme="minorHAnsi" w:hAnsiTheme="minorHAnsi" w:cstheme="minorHAnsi"/>
        </w:rPr>
        <w:t>改扩建现有集中处理站点，</w:t>
      </w:r>
      <w:r>
        <w:rPr>
          <w:rFonts w:hint="eastAsia" w:asciiTheme="minorHAnsi" w:hAnsiTheme="minorHAnsi" w:cstheme="minorHAnsi"/>
        </w:rPr>
        <w:t>利用</w:t>
      </w:r>
      <w:r>
        <w:rPr>
          <w:rFonts w:cstheme="minorHAnsi"/>
        </w:rPr>
        <w:t>秸秆-果树枝条</w:t>
      </w:r>
      <w:r>
        <w:rPr>
          <w:rFonts w:asciiTheme="minorHAnsi" w:hAnsiTheme="minorHAnsi" w:cstheme="minorHAnsi"/>
        </w:rPr>
        <w:t>生产绿色覆盖材料</w:t>
      </w:r>
      <w:r>
        <w:rPr>
          <w:rFonts w:hint="eastAsia" w:asciiTheme="minorHAnsi" w:hAnsiTheme="minorHAnsi" w:cstheme="minorHAnsi"/>
        </w:rPr>
        <w:t>，</w:t>
      </w:r>
      <w:r>
        <w:rPr>
          <w:rFonts w:asciiTheme="minorHAnsi" w:hAnsiTheme="minorHAnsi" w:cstheme="minorHAnsi"/>
        </w:rPr>
        <w:t>主要用于公园、道路等地面铺设。</w:t>
      </w:r>
    </w:p>
    <w:p>
      <w:pPr>
        <w:widowControl/>
        <w:ind w:firstLine="560" w:firstLineChars="200"/>
        <w:rPr>
          <w:rFonts w:asciiTheme="minorHAnsi" w:hAnsiTheme="minorHAnsi" w:cstheme="minorHAnsi"/>
        </w:rPr>
      </w:pPr>
    </w:p>
    <w:tbl>
      <w:tblPr>
        <w:tblStyle w:val="1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tcPr>
          <w:p>
            <w:pPr>
              <w:widowControl/>
              <w:spacing w:before="156" w:beforeLines="50" w:after="156" w:afterLines="50"/>
              <w:jc w:val="center"/>
              <w:rPr>
                <w:rFonts w:eastAsia="黑体" w:asciiTheme="minorHAnsi" w:hAnsiTheme="minorHAnsi" w:cstheme="minorHAnsi"/>
                <w:kern w:val="0"/>
                <w:sz w:val="24"/>
                <w:szCs w:val="24"/>
              </w:rPr>
            </w:pPr>
            <w:r>
              <w:rPr>
                <w:rFonts w:eastAsia="黑体" w:asciiTheme="minorHAnsi" w:hAnsiTheme="minorHAnsi" w:cstheme="minorHAnsi"/>
                <w:kern w:val="0"/>
                <w:sz w:val="24"/>
                <w:szCs w:val="24"/>
              </w:rPr>
              <w:t>专栏八：原料化利用典型技术模式</w:t>
            </w:r>
          </w:p>
          <w:p>
            <w:pPr>
              <w:widowControl/>
              <w:spacing w:line="360" w:lineRule="auto"/>
              <w:ind w:firstLine="482" w:firstLineChars="200"/>
              <w:jc w:val="left"/>
              <w:rPr>
                <w:rFonts w:asciiTheme="minorHAnsi" w:hAnsiTheme="minorHAnsi" w:cstheme="minorHAnsi"/>
                <w:b/>
                <w:bCs/>
                <w:kern w:val="0"/>
                <w:sz w:val="24"/>
                <w:szCs w:val="24"/>
              </w:rPr>
            </w:pPr>
            <w:r>
              <w:rPr>
                <w:rFonts w:asciiTheme="minorHAnsi" w:hAnsiTheme="minorHAnsi" w:cstheme="minorHAnsi"/>
                <w:b/>
                <w:bCs/>
                <w:kern w:val="0"/>
                <w:sz w:val="24"/>
                <w:szCs w:val="24"/>
              </w:rPr>
              <w:t>（一）生态覆盖材料制备技术模式</w:t>
            </w:r>
          </w:p>
          <w:p>
            <w:pPr>
              <w:pStyle w:val="41"/>
              <w:widowControl/>
              <w:spacing w:line="360" w:lineRule="auto"/>
              <w:rPr>
                <w:rFonts w:asciiTheme="minorHAnsi" w:hAnsiTheme="minorHAnsi" w:cstheme="minorHAnsi"/>
              </w:rPr>
            </w:pPr>
            <w:r>
              <w:rPr>
                <w:rFonts w:asciiTheme="minorHAnsi" w:hAnsiTheme="minorHAnsi" w:cstheme="minorHAnsi"/>
              </w:rPr>
              <w:t>【技术原理与特点】</w:t>
            </w:r>
          </w:p>
          <w:p>
            <w:pPr>
              <w:widowControl/>
              <w:spacing w:line="360" w:lineRule="auto"/>
              <w:ind w:firstLine="480" w:firstLineChars="200"/>
              <w:rPr>
                <w:rFonts w:eastAsia="楷体" w:asciiTheme="minorHAnsi" w:hAnsiTheme="minorHAnsi" w:cstheme="minorHAnsi"/>
                <w:bCs/>
                <w:kern w:val="0"/>
                <w:sz w:val="24"/>
                <w:szCs w:val="28"/>
              </w:rPr>
            </w:pPr>
            <w:r>
              <w:rPr>
                <w:rFonts w:eastAsia="楷体" w:asciiTheme="minorHAnsi" w:hAnsiTheme="minorHAnsi" w:cstheme="minorHAnsi"/>
                <w:bCs/>
                <w:kern w:val="0"/>
                <w:sz w:val="24"/>
                <w:szCs w:val="28"/>
              </w:rPr>
              <w:t>本技术以果树枝条为原料，通过粉碎、筛选等预处理，通过配备染色染液，在一定的工艺条件下进行木片染色，制备生态覆盖材料。</w:t>
            </w:r>
          </w:p>
          <w:p>
            <w:pPr>
              <w:pStyle w:val="41"/>
              <w:widowControl/>
              <w:spacing w:line="360" w:lineRule="auto"/>
              <w:rPr>
                <w:rFonts w:asciiTheme="minorHAnsi" w:hAnsiTheme="minorHAnsi" w:cstheme="minorHAnsi"/>
              </w:rPr>
            </w:pPr>
            <w:r>
              <w:rPr>
                <w:rFonts w:asciiTheme="minorHAnsi" w:hAnsiTheme="minorHAnsi" w:cstheme="minorHAnsi"/>
              </w:rPr>
              <w:t>【技术流程】</w:t>
            </w:r>
          </w:p>
          <w:p>
            <w:pPr>
              <w:widowControl/>
              <w:spacing w:line="360" w:lineRule="auto"/>
              <w:ind w:firstLine="480" w:firstLineChars="200"/>
              <w:rPr>
                <w:rFonts w:eastAsia="楷体" w:asciiTheme="minorHAnsi" w:hAnsiTheme="minorHAnsi" w:cstheme="minorHAnsi"/>
                <w:b/>
                <w:bCs/>
                <w:kern w:val="0"/>
                <w:sz w:val="24"/>
                <w:szCs w:val="28"/>
              </w:rPr>
            </w:pPr>
            <w:r>
              <w:rPr>
                <w:rFonts w:eastAsia="楷体" w:asciiTheme="minorHAnsi" w:hAnsiTheme="minorHAnsi" w:cstheme="minorHAnsi"/>
                <w:bCs/>
                <w:kern w:val="0"/>
                <w:sz w:val="24"/>
                <w:szCs w:val="28"/>
              </w:rPr>
              <w:t>该技术模式工艺流程包括预处理、染色液制备、染色等环节，具体工艺如下，如图Z11所示。</w:t>
            </w:r>
          </w:p>
          <w:p>
            <w:pPr>
              <w:widowControl/>
              <w:spacing w:line="360" w:lineRule="auto"/>
              <w:ind w:firstLine="482" w:firstLineChars="200"/>
              <w:rPr>
                <w:rFonts w:eastAsia="楷体" w:asciiTheme="minorHAnsi" w:hAnsiTheme="minorHAnsi" w:cstheme="minorHAnsi"/>
                <w:bCs/>
                <w:kern w:val="0"/>
                <w:sz w:val="24"/>
                <w:szCs w:val="28"/>
              </w:rPr>
            </w:pPr>
            <w:r>
              <w:rPr>
                <w:rFonts w:eastAsia="楷体" w:asciiTheme="minorHAnsi" w:hAnsiTheme="minorHAnsi" w:cstheme="minorHAnsi"/>
                <w:b/>
                <w:bCs/>
                <w:kern w:val="0"/>
                <w:sz w:val="24"/>
                <w:szCs w:val="28"/>
              </w:rPr>
              <w:t>木屑的预处理。</w:t>
            </w:r>
            <w:r>
              <w:rPr>
                <w:rFonts w:eastAsia="楷体" w:asciiTheme="minorHAnsi" w:hAnsiTheme="minorHAnsi" w:cstheme="minorHAnsi"/>
                <w:bCs/>
                <w:kern w:val="0"/>
                <w:sz w:val="24"/>
                <w:szCs w:val="28"/>
              </w:rPr>
              <w:t>在搅拌条件下，首先使用含有浓度为10.0g/L的氢氧化钠和浓度为5.0g/L的十二烷基苯磺酸钠的水溶液沸煮处理木屑40分钟后取出，然后水洗处理5次并在100℃下烘干；</w:t>
            </w:r>
          </w:p>
          <w:p>
            <w:pPr>
              <w:widowControl/>
              <w:spacing w:line="360" w:lineRule="auto"/>
              <w:ind w:firstLine="482" w:firstLineChars="200"/>
              <w:rPr>
                <w:rFonts w:eastAsia="楷体" w:asciiTheme="minorHAnsi" w:hAnsiTheme="minorHAnsi" w:cstheme="minorHAnsi"/>
                <w:bCs/>
                <w:kern w:val="0"/>
                <w:sz w:val="24"/>
                <w:szCs w:val="28"/>
              </w:rPr>
            </w:pPr>
            <w:r>
              <w:rPr>
                <w:rFonts w:eastAsia="楷体" w:asciiTheme="minorHAnsi" w:hAnsiTheme="minorHAnsi" w:cstheme="minorHAnsi"/>
                <w:b/>
                <w:bCs/>
                <w:kern w:val="0"/>
                <w:sz w:val="24"/>
                <w:szCs w:val="28"/>
              </w:rPr>
              <w:t>酸性染料染液（I）的配制。</w:t>
            </w:r>
            <w:r>
              <w:rPr>
                <w:rFonts w:eastAsia="楷体" w:asciiTheme="minorHAnsi" w:hAnsiTheme="minorHAnsi" w:cstheme="minorHAnsi"/>
                <w:bCs/>
                <w:kern w:val="0"/>
                <w:sz w:val="24"/>
                <w:szCs w:val="28"/>
              </w:rPr>
              <w:t>在室温下分别不同质量的酸性红A、酸性黑 10B和酸性橙156溶解于水中，充分搅拌后将其静置30分钟后得到染液（I），使其中酸性红A的浓度为1.0-5.0g/L，酸性黑10B的浓度为0.5-1.0g/L，酸性橙156的浓度为0.25-3.0g/L。</w:t>
            </w:r>
          </w:p>
          <w:p>
            <w:pPr>
              <w:widowControl/>
              <w:spacing w:line="360" w:lineRule="auto"/>
              <w:ind w:firstLine="482" w:firstLineChars="200"/>
              <w:rPr>
                <w:rFonts w:eastAsia="楷体" w:asciiTheme="minorHAnsi" w:hAnsiTheme="minorHAnsi" w:cstheme="minorHAnsi"/>
                <w:bCs/>
                <w:kern w:val="0"/>
                <w:sz w:val="24"/>
                <w:szCs w:val="28"/>
              </w:rPr>
            </w:pPr>
            <w:r>
              <w:rPr>
                <w:rFonts w:eastAsia="楷体" w:asciiTheme="minorHAnsi" w:hAnsiTheme="minorHAnsi" w:cstheme="minorHAnsi"/>
                <w:b/>
                <w:bCs/>
                <w:kern w:val="0"/>
                <w:sz w:val="24"/>
                <w:szCs w:val="28"/>
              </w:rPr>
              <w:t>打底染色工艺。</w:t>
            </w:r>
            <w:r>
              <w:rPr>
                <w:rFonts w:eastAsia="楷体" w:asciiTheme="minorHAnsi" w:hAnsiTheme="minorHAnsi" w:cstheme="minorHAnsi"/>
                <w:bCs/>
                <w:kern w:val="0"/>
                <w:sz w:val="24"/>
                <w:szCs w:val="28"/>
              </w:rPr>
              <w:t>将上述染液（I）和木屑置于常温染色机内，保持浴比（木屑重量（kg）和有机染液体积（L）之比为1</w:t>
            </w:r>
            <w:r>
              <w:rPr>
                <w:rFonts w:hint="eastAsia" w:ascii="宋体" w:hAnsi="宋体" w:cs="宋体"/>
                <w:bCs/>
                <w:kern w:val="0"/>
                <w:sz w:val="24"/>
                <w:szCs w:val="28"/>
              </w:rPr>
              <w:t>∶</w:t>
            </w:r>
            <w:r>
              <w:rPr>
                <w:rFonts w:eastAsia="楷体" w:asciiTheme="minorHAnsi" w:hAnsiTheme="minorHAnsi" w:cstheme="minorHAnsi"/>
                <w:bCs/>
                <w:kern w:val="0"/>
                <w:sz w:val="24"/>
                <w:szCs w:val="28"/>
              </w:rPr>
              <w:t>30）。然后以5℃/min的速度升温至95℃，并在此温度染色1小时。染色后将其取出并进行热水洗3次和冷水洗2次得到打底染色木屑。</w:t>
            </w:r>
          </w:p>
          <w:p>
            <w:pPr>
              <w:widowControl/>
              <w:spacing w:line="360" w:lineRule="auto"/>
              <w:ind w:firstLine="482" w:firstLineChars="200"/>
              <w:rPr>
                <w:rFonts w:eastAsia="楷体" w:asciiTheme="minorHAnsi" w:hAnsiTheme="minorHAnsi" w:cstheme="minorHAnsi"/>
                <w:bCs/>
                <w:kern w:val="0"/>
                <w:sz w:val="24"/>
                <w:szCs w:val="28"/>
              </w:rPr>
            </w:pPr>
            <w:r>
              <w:rPr>
                <w:rFonts w:eastAsia="楷体" w:asciiTheme="minorHAnsi" w:hAnsiTheme="minorHAnsi" w:cstheme="minorHAnsi"/>
                <w:b/>
                <w:bCs/>
                <w:kern w:val="0"/>
                <w:sz w:val="24"/>
                <w:szCs w:val="28"/>
              </w:rPr>
              <w:t>铁红染液（II）的配制。</w:t>
            </w:r>
            <w:r>
              <w:rPr>
                <w:rFonts w:eastAsia="楷体" w:asciiTheme="minorHAnsi" w:hAnsiTheme="minorHAnsi" w:cstheme="minorHAnsi"/>
                <w:bCs/>
                <w:kern w:val="0"/>
                <w:sz w:val="24"/>
                <w:szCs w:val="28"/>
              </w:rPr>
              <w:t>将铁红粉和丙烯酸类粘合剂分别放入水中，充分搅拌使之形成均匀染液（II）；使其中铁红的浓度为（100-150g/L），丙烯酸类粘合剂的浓度为（150-200g/L）。</w:t>
            </w:r>
          </w:p>
          <w:p>
            <w:pPr>
              <w:widowControl/>
              <w:spacing w:line="360" w:lineRule="auto"/>
              <w:ind w:firstLine="482" w:firstLineChars="200"/>
              <w:rPr>
                <w:rFonts w:eastAsia="楷体" w:asciiTheme="minorHAnsi" w:hAnsiTheme="minorHAnsi" w:cstheme="minorHAnsi"/>
                <w:bCs/>
                <w:kern w:val="0"/>
                <w:sz w:val="24"/>
                <w:szCs w:val="28"/>
              </w:rPr>
            </w:pPr>
            <w:r>
              <w:rPr>
                <w:rFonts w:eastAsia="楷体" w:asciiTheme="minorHAnsi" w:hAnsiTheme="minorHAnsi" w:cstheme="minorHAnsi"/>
                <w:b/>
                <w:bCs/>
                <w:kern w:val="0"/>
                <w:sz w:val="24"/>
                <w:szCs w:val="28"/>
              </w:rPr>
              <w:t>表面染色工艺。</w:t>
            </w:r>
            <w:r>
              <w:rPr>
                <w:rFonts w:eastAsia="楷体" w:asciiTheme="minorHAnsi" w:hAnsiTheme="minorHAnsi" w:cstheme="minorHAnsi"/>
                <w:bCs/>
                <w:kern w:val="0"/>
                <w:sz w:val="24"/>
                <w:szCs w:val="28"/>
              </w:rPr>
              <w:t>将经打底染色木屑置于染液（II）中，在常温染色机内缓慢搅拌进行室温染色。25分钟后将之取出并放入180℃的烘箱中焙烘处理15 分钟得到染色木屑样品。</w:t>
            </w:r>
          </w:p>
          <w:p>
            <w:pPr>
              <w:pStyle w:val="32"/>
              <w:widowControl/>
              <w:rPr>
                <w:rFonts w:asciiTheme="minorHAnsi" w:hAnsiTheme="minorHAnsi" w:cstheme="minorHAnsi"/>
              </w:rPr>
            </w:pPr>
            <w:r>
              <w:rPr>
                <w:rFonts w:asciiTheme="minorHAnsi" w:hAnsiTheme="minorHAnsi" w:cstheme="minorHAnsi"/>
              </w:rPr>
              <w:drawing>
                <wp:inline distT="0" distB="0" distL="0" distR="0">
                  <wp:extent cx="5111115" cy="73342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197152" cy="745931"/>
                          </a:xfrm>
                          <a:prstGeom prst="rect">
                            <a:avLst/>
                          </a:prstGeom>
                          <a:noFill/>
                        </pic:spPr>
                      </pic:pic>
                    </a:graphicData>
                  </a:graphic>
                </wp:inline>
              </w:drawing>
            </w:r>
          </w:p>
          <w:p>
            <w:pPr>
              <w:pStyle w:val="32"/>
              <w:widowControl/>
              <w:spacing w:line="360" w:lineRule="auto"/>
              <w:rPr>
                <w:rFonts w:asciiTheme="minorHAnsi" w:hAnsiTheme="minorHAnsi" w:cstheme="minorHAnsi"/>
                <w:sz w:val="22"/>
                <w:szCs w:val="20"/>
              </w:rPr>
            </w:pPr>
            <w:r>
              <w:rPr>
                <w:rFonts w:asciiTheme="minorHAnsi" w:hAnsiTheme="minorHAnsi" w:cstheme="minorHAnsi"/>
                <w:sz w:val="22"/>
                <w:szCs w:val="20"/>
              </w:rPr>
              <w:t>图Z11  生态覆盖材料生产工艺流程</w:t>
            </w:r>
          </w:p>
          <w:p>
            <w:pPr>
              <w:widowControl/>
              <w:spacing w:line="360" w:lineRule="auto"/>
              <w:ind w:firstLine="482" w:firstLineChars="200"/>
              <w:jc w:val="left"/>
              <w:rPr>
                <w:rFonts w:asciiTheme="minorHAnsi" w:hAnsiTheme="minorHAnsi" w:cstheme="minorHAnsi"/>
                <w:b/>
                <w:bCs/>
                <w:kern w:val="0"/>
                <w:sz w:val="24"/>
                <w:szCs w:val="24"/>
              </w:rPr>
            </w:pPr>
            <w:r>
              <w:rPr>
                <w:rFonts w:asciiTheme="minorHAnsi" w:hAnsiTheme="minorHAnsi" w:cstheme="minorHAnsi"/>
                <w:b/>
                <w:bCs/>
                <w:kern w:val="0"/>
                <w:sz w:val="24"/>
                <w:szCs w:val="24"/>
              </w:rPr>
              <w:t>（二）透水砖制备技术模式</w:t>
            </w:r>
          </w:p>
          <w:p>
            <w:pPr>
              <w:pStyle w:val="41"/>
              <w:widowControl/>
              <w:spacing w:line="360" w:lineRule="auto"/>
              <w:rPr>
                <w:rFonts w:asciiTheme="minorHAnsi" w:hAnsiTheme="minorHAnsi" w:cstheme="minorHAnsi"/>
              </w:rPr>
            </w:pPr>
            <w:r>
              <w:rPr>
                <w:rFonts w:asciiTheme="minorHAnsi" w:hAnsiTheme="minorHAnsi" w:cstheme="minorHAnsi"/>
              </w:rPr>
              <w:t>【技术原理与特点】</w:t>
            </w:r>
          </w:p>
          <w:p>
            <w:pPr>
              <w:widowControl/>
              <w:spacing w:line="360" w:lineRule="auto"/>
              <w:ind w:firstLine="480" w:firstLineChars="200"/>
              <w:rPr>
                <w:rFonts w:eastAsia="楷体" w:asciiTheme="minorHAnsi" w:hAnsiTheme="minorHAnsi" w:cstheme="minorHAnsi"/>
                <w:bCs/>
                <w:kern w:val="0"/>
                <w:sz w:val="24"/>
                <w:szCs w:val="28"/>
              </w:rPr>
            </w:pPr>
            <w:r>
              <w:rPr>
                <w:rFonts w:eastAsia="楷体" w:asciiTheme="minorHAnsi" w:hAnsiTheme="minorHAnsi" w:cstheme="minorHAnsi"/>
                <w:bCs/>
                <w:kern w:val="0"/>
                <w:sz w:val="24"/>
                <w:szCs w:val="28"/>
              </w:rPr>
              <w:t>本技术以秸秆灰、污泥灰、废弃混凝土灰、水泥和陶粒等为原料制作透水砖，在保证透水砖各种性能要求的前提下，实现了废弃物资源化利用</w:t>
            </w:r>
          </w:p>
          <w:p>
            <w:pPr>
              <w:pStyle w:val="41"/>
              <w:widowControl/>
              <w:spacing w:line="360" w:lineRule="auto"/>
              <w:rPr>
                <w:rFonts w:asciiTheme="minorHAnsi" w:hAnsiTheme="minorHAnsi" w:cstheme="minorHAnsi"/>
              </w:rPr>
            </w:pPr>
            <w:r>
              <w:rPr>
                <w:rFonts w:asciiTheme="minorHAnsi" w:hAnsiTheme="minorHAnsi" w:cstheme="minorHAnsi"/>
              </w:rPr>
              <w:t>【技术流程】</w:t>
            </w:r>
          </w:p>
          <w:p>
            <w:pPr>
              <w:widowControl/>
              <w:spacing w:line="360" w:lineRule="auto"/>
              <w:ind w:firstLine="482" w:firstLineChars="200"/>
              <w:rPr>
                <w:rFonts w:eastAsia="楷体" w:asciiTheme="minorHAnsi" w:hAnsiTheme="minorHAnsi" w:cstheme="minorHAnsi"/>
                <w:bCs/>
                <w:kern w:val="0"/>
                <w:sz w:val="24"/>
                <w:szCs w:val="28"/>
              </w:rPr>
            </w:pPr>
            <w:r>
              <w:rPr>
                <w:rFonts w:eastAsia="楷体" w:asciiTheme="minorHAnsi" w:hAnsiTheme="minorHAnsi" w:cstheme="minorHAnsi"/>
                <w:b/>
                <w:bCs/>
                <w:kern w:val="0"/>
                <w:sz w:val="24"/>
                <w:szCs w:val="28"/>
              </w:rPr>
              <w:t>原材料处理：</w:t>
            </w:r>
            <w:r>
              <w:rPr>
                <w:rFonts w:eastAsia="楷体" w:asciiTheme="minorHAnsi" w:hAnsiTheme="minorHAnsi" w:cstheme="minorHAnsi"/>
                <w:bCs/>
                <w:kern w:val="0"/>
                <w:sz w:val="24"/>
                <w:szCs w:val="28"/>
              </w:rPr>
              <w:t>原料中秸秆灰、污泥灰、废弃混凝土灰的粒径需达到100-300目，陶粒粒径为5-10mm。透水砖为三层结构，每层结构之间的陶粒粒径不同，三层结构中的陶粒粒径从上至下依次为10mm、7.5mm、5mm；水泥为硅酸盐水泥，为粉状水硬性无机胶凝材料，强度等级不小于42.5；秸秆灰通过将植物秸秆干燥处理，16目筛筛分，550±5℃焚烧3h，研磨得到，灰分为3-5％；污泥灰通过市政污泥经干燥、筛分、焚烧、研磨得到，焚烧具体为650±5℃焚烧3h，灰分为50％-70％；废弃混凝土灰为原混凝土抗压强度不小于39.5mpa的废弃混凝土块通过打粉、筛分得到。</w:t>
            </w:r>
          </w:p>
          <w:p>
            <w:pPr>
              <w:widowControl/>
              <w:spacing w:line="360" w:lineRule="auto"/>
              <w:ind w:firstLine="482" w:firstLineChars="200"/>
              <w:rPr>
                <w:rFonts w:eastAsia="楷体" w:asciiTheme="minorHAnsi" w:hAnsiTheme="minorHAnsi" w:cstheme="minorHAnsi"/>
                <w:bCs/>
                <w:kern w:val="0"/>
                <w:sz w:val="24"/>
                <w:szCs w:val="28"/>
              </w:rPr>
            </w:pPr>
            <w:r>
              <w:rPr>
                <w:rFonts w:eastAsia="楷体" w:asciiTheme="minorHAnsi" w:hAnsiTheme="minorHAnsi" w:cstheme="minorHAnsi"/>
                <w:b/>
                <w:bCs/>
                <w:kern w:val="0"/>
                <w:sz w:val="24"/>
                <w:szCs w:val="28"/>
              </w:rPr>
              <w:t>透水砖的制备工艺：</w:t>
            </w:r>
            <w:r>
              <w:rPr>
                <w:rFonts w:eastAsia="楷体" w:asciiTheme="minorHAnsi" w:hAnsiTheme="minorHAnsi" w:cstheme="minorHAnsi"/>
                <w:bCs/>
                <w:kern w:val="0"/>
                <w:sz w:val="24"/>
                <w:szCs w:val="28"/>
              </w:rPr>
              <w:t>将秸秆灰、污泥灰、废弃混凝土灰、水泥和不同粒径的陶粒分别按一定质量比混合均匀，得到陶粒粒径不同的三种混合物料，向三种混合物料中分别加水搅拌均匀，按陶粒粒径从下至上逐渐增加的趋势逐层铺设，共铺设三层，得到带模具的砖体；之后养护、脱模、养护得到透水砖。养护的条件为：温度25-35℃，湿度80％以上。脱模前养护的时间为1-2天，脱模后养护的时间为10-20天。水的用量为所述秸秆灰、污泥灰、废弃混凝土灰、水泥和陶粒总质量的6%-7％。</w:t>
            </w:r>
          </w:p>
          <w:p>
            <w:pPr>
              <w:pStyle w:val="32"/>
              <w:widowControl/>
              <w:spacing w:before="156" w:beforeLines="50" w:after="156" w:afterLines="50"/>
              <w:rPr>
                <w:rFonts w:asciiTheme="minorHAnsi" w:hAnsiTheme="minorHAnsi" w:cstheme="minorHAnsi"/>
                <w:shd w:val="clear" w:color="auto" w:fill="FFFFFF"/>
              </w:rPr>
            </w:pPr>
            <w:r>
              <w:rPr>
                <w:rFonts w:asciiTheme="minorHAnsi" w:hAnsiTheme="minorHAnsi" w:cstheme="minorHAnsi"/>
                <w:shd w:val="clear" w:color="auto" w:fill="FFFFFF"/>
              </w:rPr>
              <w:drawing>
                <wp:inline distT="0" distB="0" distL="0" distR="0">
                  <wp:extent cx="5041265" cy="297180"/>
                  <wp:effectExtent l="0" t="0" r="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194306" cy="306740"/>
                          </a:xfrm>
                          <a:prstGeom prst="rect">
                            <a:avLst/>
                          </a:prstGeom>
                          <a:noFill/>
                        </pic:spPr>
                      </pic:pic>
                    </a:graphicData>
                  </a:graphic>
                </wp:inline>
              </w:drawing>
            </w:r>
          </w:p>
          <w:p>
            <w:pPr>
              <w:pStyle w:val="32"/>
              <w:widowControl/>
              <w:spacing w:line="360" w:lineRule="auto"/>
              <w:rPr>
                <w:rFonts w:asciiTheme="minorHAnsi" w:hAnsiTheme="minorHAnsi" w:cstheme="minorHAnsi"/>
                <w:szCs w:val="24"/>
              </w:rPr>
            </w:pPr>
            <w:r>
              <w:rPr>
                <w:rFonts w:asciiTheme="minorHAnsi" w:hAnsiTheme="minorHAnsi" w:cstheme="minorHAnsi"/>
                <w:sz w:val="22"/>
                <w:szCs w:val="20"/>
              </w:rPr>
              <w:t>图Z12  透水砖生产工艺流程</w:t>
            </w:r>
          </w:p>
        </w:tc>
      </w:tr>
      <w:bookmarkEnd w:id="56"/>
    </w:tbl>
    <w:p>
      <w:pPr>
        <w:pStyle w:val="3"/>
        <w:rPr>
          <w:rFonts w:cstheme="minorHAnsi"/>
        </w:rPr>
      </w:pPr>
      <w:bookmarkStart w:id="57" w:name="_Toc119659805"/>
      <w:r>
        <w:rPr>
          <w:rFonts w:cstheme="minorHAnsi"/>
        </w:rPr>
        <w:t>（六）科技创新与支撑体系建设</w:t>
      </w:r>
      <w:bookmarkEnd w:id="57"/>
    </w:p>
    <w:p>
      <w:pPr>
        <w:pStyle w:val="4"/>
        <w:rPr>
          <w:rFonts w:cstheme="minorHAnsi"/>
        </w:rPr>
      </w:pPr>
      <w:r>
        <w:rPr>
          <w:rFonts w:cstheme="minorHAnsi"/>
        </w:rPr>
        <w:t>1．秸秆低碳循环利用示范展示</w:t>
      </w:r>
    </w:p>
    <w:p>
      <w:pPr>
        <w:widowControl/>
        <w:ind w:firstLine="562" w:firstLineChars="200"/>
        <w:rPr>
          <w:rFonts w:asciiTheme="minorHAnsi" w:hAnsiTheme="minorHAnsi" w:cstheme="minorHAnsi"/>
        </w:rPr>
      </w:pPr>
      <w:r>
        <w:rPr>
          <w:rFonts w:hint="eastAsia" w:asciiTheme="minorHAnsi" w:hAnsiTheme="minorHAnsi" w:cstheme="minorHAnsi"/>
          <w:b/>
        </w:rPr>
        <w:t>支持</w:t>
      </w:r>
      <w:r>
        <w:rPr>
          <w:rFonts w:asciiTheme="minorHAnsi" w:hAnsiTheme="minorHAnsi" w:cstheme="minorHAnsi"/>
          <w:b/>
        </w:rPr>
        <w:t>内容：</w:t>
      </w:r>
      <w:r>
        <w:rPr>
          <w:rFonts w:asciiTheme="minorHAnsi" w:hAnsiTheme="minorHAnsi" w:cstheme="minorHAnsi"/>
        </w:rPr>
        <w:t>紧密结合各镇（街道）农业产业发展现状与资源环境禀赋，开展秸秆低碳循环利用示范。</w:t>
      </w:r>
      <w:r>
        <w:rPr>
          <w:rFonts w:hint="eastAsia" w:asciiTheme="minorHAnsi" w:hAnsiTheme="minorHAnsi" w:cstheme="minorHAnsi"/>
        </w:rPr>
        <w:t>支持</w:t>
      </w:r>
      <w:r>
        <w:rPr>
          <w:rFonts w:asciiTheme="minorHAnsi" w:hAnsiTheme="minorHAnsi" w:cstheme="minorHAnsi"/>
        </w:rPr>
        <w:t>开展秸秆等农业废弃物协同处理、肥料化利用等试点示范，健全种养结合的农业低碳循环产业链，推广先进适用技术装备，大力推动农业废弃物资源化利用，探索新型商业模式，提高区域特色农产品生态价值，形成以企业为引擎、以园区为载体的废弃物低碳循环利用的新高地，在大兴区乃至北京市开展示范推广，带动区域农业低碳循环经济高质量发展。</w:t>
      </w:r>
    </w:p>
    <w:p>
      <w:pPr>
        <w:pStyle w:val="4"/>
        <w:rPr>
          <w:rFonts w:cstheme="minorHAnsi"/>
        </w:rPr>
      </w:pPr>
      <w:r>
        <w:rPr>
          <w:rFonts w:cstheme="minorHAnsi"/>
        </w:rPr>
        <w:t>2．新型经营主体培训</w:t>
      </w:r>
    </w:p>
    <w:p>
      <w:pPr>
        <w:widowControl/>
        <w:ind w:firstLine="562" w:firstLineChars="200"/>
        <w:rPr>
          <w:rFonts w:asciiTheme="minorHAnsi" w:hAnsiTheme="minorHAnsi" w:cstheme="minorHAnsi"/>
        </w:rPr>
      </w:pPr>
      <w:r>
        <w:rPr>
          <w:rFonts w:hint="eastAsia" w:asciiTheme="minorHAnsi" w:hAnsiTheme="minorHAnsi" w:cstheme="minorHAnsi"/>
          <w:b/>
        </w:rPr>
        <w:t>支持</w:t>
      </w:r>
      <w:r>
        <w:rPr>
          <w:rFonts w:asciiTheme="minorHAnsi" w:hAnsiTheme="minorHAnsi" w:cstheme="minorHAnsi"/>
          <w:b/>
        </w:rPr>
        <w:t>内容：</w:t>
      </w:r>
      <w:r>
        <w:rPr>
          <w:rFonts w:hint="eastAsia" w:asciiTheme="minorHAnsi" w:hAnsiTheme="minorHAnsi" w:cstheme="minorHAnsi"/>
        </w:rPr>
        <w:t>开展</w:t>
      </w:r>
      <w:r>
        <w:rPr>
          <w:rFonts w:asciiTheme="minorHAnsi" w:hAnsiTheme="minorHAnsi" w:cstheme="minorHAnsi"/>
        </w:rPr>
        <w:t>新型经营主体培育，发展壮大农业废弃物循环利用企业，扶持培育农业废弃物收集、转运、配送、利用的社会化服务组织，支持和引导新型经营主体参与投资发展生态循环农业及相关服务产业（秸秆技术、示范），推广综合利用新技术、新模式。</w:t>
      </w:r>
    </w:p>
    <w:p>
      <w:pPr>
        <w:widowControl/>
        <w:ind w:firstLine="560" w:firstLineChars="200"/>
        <w:rPr>
          <w:rFonts w:asciiTheme="minorHAnsi" w:hAnsiTheme="minorHAnsi" w:cstheme="minorHAnsi"/>
        </w:rPr>
      </w:pPr>
    </w:p>
    <w:p>
      <w:pPr>
        <w:widowControl/>
        <w:spacing w:line="240" w:lineRule="auto"/>
        <w:jc w:val="left"/>
        <w:rPr>
          <w:rFonts w:asciiTheme="minorHAnsi" w:hAnsiTheme="minorHAnsi" w:cstheme="minorHAnsi"/>
        </w:rPr>
      </w:pPr>
      <w:r>
        <w:rPr>
          <w:rFonts w:asciiTheme="minorHAnsi" w:hAnsiTheme="minorHAnsi" w:cstheme="minorHAnsi"/>
        </w:rPr>
        <w:br w:type="page"/>
      </w:r>
    </w:p>
    <w:bookmarkEnd w:id="34"/>
    <w:p>
      <w:pPr>
        <w:pStyle w:val="2"/>
        <w:widowControl/>
        <w:spacing w:before="156" w:after="156"/>
        <w:ind w:firstLine="640"/>
      </w:pPr>
      <w:bookmarkStart w:id="58" w:name="_Toc119659806"/>
      <w:r>
        <w:t>五、效益分析</w:t>
      </w:r>
      <w:bookmarkEnd w:id="58"/>
    </w:p>
    <w:p>
      <w:pPr>
        <w:pStyle w:val="3"/>
        <w:rPr>
          <w:rFonts w:cstheme="minorHAnsi"/>
        </w:rPr>
      </w:pPr>
      <w:bookmarkStart w:id="59" w:name="_Toc119659807"/>
      <w:r>
        <w:rPr>
          <w:rFonts w:hint="eastAsia" w:cstheme="minorHAnsi"/>
        </w:rPr>
        <w:t>（一）</w:t>
      </w:r>
      <w:r>
        <w:rPr>
          <w:rFonts w:cstheme="minorHAnsi"/>
        </w:rPr>
        <w:t>经济效益</w:t>
      </w:r>
      <w:bookmarkEnd w:id="59"/>
    </w:p>
    <w:p>
      <w:pPr>
        <w:widowControl/>
        <w:ind w:firstLine="560" w:firstLineChars="200"/>
        <w:rPr>
          <w:rFonts w:asciiTheme="minorHAnsi" w:hAnsiTheme="minorHAnsi" w:cstheme="minorHAnsi"/>
        </w:rPr>
      </w:pPr>
      <w:r>
        <w:rPr>
          <w:rFonts w:asciiTheme="minorHAnsi" w:hAnsiTheme="minorHAnsi" w:cstheme="minorHAnsi"/>
        </w:rPr>
        <w:t>通过方案实施，大兴区将进一步建立健全政府引导、市场主导、农村参与的运行机制，以绿色生态为导向，科技创新为动力，政策制度为保障，形成秸秆肥料化循环利用、基料化利用链条，能有效减少化肥使用量，节省农民和企业在农业投入品等方面的支出，有效提升农产品产量和品质，提高农业产业经济效益。通过三年行动方案实施，实现年产有机肥料、基质</w:t>
      </w:r>
      <w:r>
        <w:rPr>
          <w:rFonts w:hint="eastAsia" w:asciiTheme="minorHAnsi" w:hAnsiTheme="minorHAnsi" w:cstheme="minorHAnsi"/>
        </w:rPr>
        <w:t>、</w:t>
      </w:r>
      <w:r>
        <w:rPr>
          <w:rFonts w:asciiTheme="minorHAnsi" w:hAnsiTheme="minorHAnsi" w:cstheme="minorHAnsi"/>
        </w:rPr>
        <w:t>菌棒、覆盖材料等可带来直接经济收益</w:t>
      </w:r>
      <w:r>
        <w:rPr>
          <w:rFonts w:hint="eastAsia" w:asciiTheme="minorHAnsi" w:hAnsiTheme="minorHAnsi" w:cstheme="minorHAnsi"/>
        </w:rPr>
        <w:t>。</w:t>
      </w:r>
      <w:r>
        <w:rPr>
          <w:rFonts w:asciiTheme="minorHAnsi" w:hAnsiTheme="minorHAnsi" w:cstheme="minorHAnsi"/>
        </w:rPr>
        <w:t>相关重点</w:t>
      </w:r>
      <w:r>
        <w:rPr>
          <w:rFonts w:hint="eastAsia" w:asciiTheme="minorHAnsi" w:hAnsiTheme="minorHAnsi" w:cstheme="minorHAnsi"/>
          <w:lang w:eastAsia="zh-CN"/>
        </w:rPr>
        <w:t>内容</w:t>
      </w:r>
      <w:r>
        <w:rPr>
          <w:rFonts w:asciiTheme="minorHAnsi" w:hAnsiTheme="minorHAnsi" w:cstheme="minorHAnsi"/>
        </w:rPr>
        <w:t>的实施，可以带动废弃物收储运、产品销售、建设、物流运输等上下游产业发展，创造更多的工作岗位和经济价值</w:t>
      </w:r>
      <w:r>
        <w:rPr>
          <w:rFonts w:hint="eastAsia" w:asciiTheme="minorHAnsi" w:hAnsiTheme="minorHAnsi" w:cstheme="minorHAnsi"/>
        </w:rPr>
        <w:t>。</w:t>
      </w:r>
      <w:r>
        <w:rPr>
          <w:rFonts w:asciiTheme="minorHAnsi" w:hAnsiTheme="minorHAnsi" w:cstheme="minorHAnsi"/>
        </w:rPr>
        <w:t>此外，秸秆类农业废弃物的处理利用，可以把有机碳储存在土壤当中发挥碳汇的功能，通过有效替代化石能源、减少森林砍伐量来减少温室气体排放</w:t>
      </w:r>
      <w:r>
        <w:rPr>
          <w:rFonts w:hint="eastAsia" w:asciiTheme="minorHAnsi" w:hAnsiTheme="minorHAnsi" w:cstheme="minorHAnsi"/>
        </w:rPr>
        <w:t>，</w:t>
      </w:r>
      <w:r>
        <w:rPr>
          <w:rFonts w:asciiTheme="minorHAnsi" w:hAnsiTheme="minorHAnsi" w:cstheme="minorHAnsi"/>
        </w:rPr>
        <w:t>也将带来可观的碳汇收益。</w:t>
      </w:r>
    </w:p>
    <w:p>
      <w:pPr>
        <w:pStyle w:val="3"/>
        <w:rPr>
          <w:rFonts w:cstheme="minorHAnsi"/>
        </w:rPr>
      </w:pPr>
      <w:bookmarkStart w:id="60" w:name="_Toc119659808"/>
      <w:r>
        <w:rPr>
          <w:rFonts w:hint="eastAsia" w:cstheme="minorHAnsi"/>
        </w:rPr>
        <w:t>（二）</w:t>
      </w:r>
      <w:r>
        <w:rPr>
          <w:rFonts w:cstheme="minorHAnsi"/>
        </w:rPr>
        <w:t>社会效益</w:t>
      </w:r>
      <w:bookmarkEnd w:id="60"/>
    </w:p>
    <w:p>
      <w:pPr>
        <w:widowControl/>
        <w:ind w:firstLine="560" w:firstLineChars="200"/>
        <w:rPr>
          <w:rFonts w:asciiTheme="minorHAnsi" w:hAnsiTheme="minorHAnsi" w:cstheme="minorHAnsi"/>
        </w:rPr>
      </w:pPr>
      <w:r>
        <w:rPr>
          <w:rFonts w:asciiTheme="minorHAnsi" w:hAnsiTheme="minorHAnsi" w:cstheme="minorHAnsi"/>
        </w:rPr>
        <w:t>通过方案实施，大兴区秸秆类废弃物的综合利用水平将进一步提高，农业废弃物收储运体系逐渐完善，秸秆类废弃物综合利用农用机具配套设施日趋完备，资源化利用技术水平明显提升，科技支撑力度显著加强。通过农业废弃物资源化利用</w:t>
      </w:r>
      <w:r>
        <w:rPr>
          <w:rFonts w:hint="eastAsia" w:asciiTheme="minorHAnsi" w:hAnsiTheme="minorHAnsi" w:cstheme="minorHAnsi"/>
          <w:lang w:eastAsia="zh-CN"/>
        </w:rPr>
        <w:t>内容</w:t>
      </w:r>
      <w:r>
        <w:rPr>
          <w:rFonts w:asciiTheme="minorHAnsi" w:hAnsiTheme="minorHAnsi" w:cstheme="minorHAnsi"/>
        </w:rPr>
        <w:t>的实施，可以直接或间接提供就业岗位，带动农民就业，促进农民增收</w:t>
      </w:r>
      <w:r>
        <w:rPr>
          <w:rFonts w:hint="eastAsia" w:asciiTheme="minorHAnsi" w:hAnsiTheme="minorHAnsi" w:cstheme="minorHAnsi"/>
        </w:rPr>
        <w:t>，</w:t>
      </w:r>
      <w:r>
        <w:rPr>
          <w:rFonts w:asciiTheme="minorHAnsi" w:hAnsiTheme="minorHAnsi" w:cstheme="minorHAnsi"/>
        </w:rPr>
        <w:t>进一步优化大兴区农业废弃物资源化利用格局，提升产业规模和处理能力，推动农业转型升级，提高农业质量效益和竞争力。此外，还可以显著改善村容村貌，提升村民生活质量。方案实施后，能够有效带动区域农村经济社会健康发展，实现农业提效、农村变美、农民增收多方共赢，提升农村居民幸福感，为人民安居乐业提供有效支撑，提升区域竞争力。</w:t>
      </w:r>
    </w:p>
    <w:p>
      <w:pPr>
        <w:pStyle w:val="3"/>
        <w:rPr>
          <w:rFonts w:cstheme="minorHAnsi"/>
        </w:rPr>
      </w:pPr>
      <w:bookmarkStart w:id="61" w:name="_Toc119659809"/>
      <w:r>
        <w:rPr>
          <w:rFonts w:hint="eastAsia" w:cstheme="minorHAnsi"/>
        </w:rPr>
        <w:t>（三）</w:t>
      </w:r>
      <w:r>
        <w:rPr>
          <w:rFonts w:cstheme="minorHAnsi"/>
        </w:rPr>
        <w:t>生态效益</w:t>
      </w:r>
      <w:bookmarkEnd w:id="61"/>
    </w:p>
    <w:p>
      <w:pPr>
        <w:widowControl/>
        <w:ind w:firstLine="560" w:firstLineChars="200"/>
        <w:rPr>
          <w:rFonts w:asciiTheme="minorHAnsi" w:hAnsiTheme="minorHAnsi" w:cstheme="minorHAnsi"/>
        </w:rPr>
      </w:pPr>
      <w:r>
        <w:rPr>
          <w:rFonts w:asciiTheme="minorHAnsi" w:hAnsiTheme="minorHAnsi" w:cstheme="minorHAnsi"/>
        </w:rPr>
        <w:t>通过方案实施，预计2025年可实现全区大部分农业废弃物的资源化利用。方案的实施，将农作物秸秆、</w:t>
      </w:r>
      <w:r>
        <w:rPr>
          <w:rFonts w:hint="eastAsia" w:asciiTheme="minorHAnsi" w:hAnsiTheme="minorHAnsi" w:cstheme="minorHAnsi"/>
        </w:rPr>
        <w:t>瓜秧</w:t>
      </w:r>
      <w:r>
        <w:rPr>
          <w:rFonts w:asciiTheme="minorHAnsi" w:hAnsiTheme="minorHAnsi" w:cstheme="minorHAnsi"/>
        </w:rPr>
        <w:t>尾菜、果树枝条等废弃物进行粉碎覆盖还田、有机肥堆沤等肥料化利用，以及果树枝条燃料化、基料化利用等资源化利用，可以大幅减少农业废弃物乱堆乱放等现象，避免废弃物闲置废弃造成的空气、水体和农村生活环境污染，有效防治农业面源污染，显著提升大兴区农业环境质量，推动农业绿色发展水平进一步提升；秸秆类废弃物的处理利用，可以显著降低污染物和温室气体排放，实现减污减碳协同增效；此外，秸秆类废弃物经处理后回到农田土壤，可以有效提升土壤有机质和肥力，降低由于化肥、农药施用给农业生态环境带来的负面影响，有利于维护农业农村生态系统平衡，促进粮食、蔬菜、水果等种植向绿色有机标准方向发展，建设美丽宜居乡村，实现农业农村绿色可持续发展。</w:t>
      </w:r>
    </w:p>
    <w:p>
      <w:pPr>
        <w:widowControl/>
        <w:ind w:firstLine="560" w:firstLineChars="200"/>
        <w:rPr>
          <w:rFonts w:asciiTheme="minorHAnsi" w:hAnsiTheme="minorHAnsi" w:cstheme="minorHAnsi"/>
        </w:rPr>
      </w:pPr>
    </w:p>
    <w:p>
      <w:pPr>
        <w:widowControl/>
        <w:ind w:firstLine="560" w:firstLineChars="200"/>
        <w:rPr>
          <w:rFonts w:asciiTheme="minorHAnsi" w:hAnsiTheme="minorHAnsi" w:cstheme="minorHAnsi"/>
        </w:rPr>
      </w:pPr>
    </w:p>
    <w:p>
      <w:pPr>
        <w:widowControl/>
        <w:ind w:firstLine="560" w:firstLineChars="200"/>
        <w:rPr>
          <w:rFonts w:asciiTheme="minorHAnsi" w:hAnsiTheme="minorHAnsi" w:cstheme="minorHAnsi"/>
        </w:rPr>
        <w:sectPr>
          <w:headerReference r:id="rId7" w:type="default"/>
          <w:footerReference r:id="rId8" w:type="default"/>
          <w:pgSz w:w="11906" w:h="16838"/>
          <w:pgMar w:top="1440" w:right="1800" w:bottom="1440" w:left="1800" w:header="851" w:footer="992" w:gutter="0"/>
          <w:pgNumType w:start="1"/>
          <w:cols w:space="425" w:num="1"/>
          <w:docGrid w:type="lines" w:linePitch="312" w:charSpace="0"/>
        </w:sectPr>
      </w:pPr>
    </w:p>
    <w:p>
      <w:pPr>
        <w:pStyle w:val="2"/>
        <w:widowControl/>
        <w:spacing w:before="156" w:after="156"/>
        <w:ind w:firstLine="640"/>
      </w:pPr>
      <w:bookmarkStart w:id="62" w:name="_Toc104673509"/>
      <w:bookmarkEnd w:id="62"/>
      <w:bookmarkStart w:id="63" w:name="_Toc119659810"/>
      <w:r>
        <w:t>六、保障措施</w:t>
      </w:r>
      <w:bookmarkEnd w:id="63"/>
    </w:p>
    <w:p>
      <w:pPr>
        <w:pStyle w:val="3"/>
        <w:rPr>
          <w:rFonts w:cstheme="minorHAnsi"/>
        </w:rPr>
      </w:pPr>
      <w:bookmarkStart w:id="64" w:name="_Toc119659811"/>
      <w:r>
        <w:rPr>
          <w:rFonts w:cstheme="minorHAnsi"/>
        </w:rPr>
        <w:t>（一）加强组织领导，压实工作责任</w:t>
      </w:r>
      <w:bookmarkEnd w:id="64"/>
    </w:p>
    <w:p>
      <w:pPr>
        <w:widowControl/>
        <w:spacing w:line="240" w:lineRule="auto"/>
        <w:ind w:firstLine="560" w:firstLineChars="200"/>
        <w:rPr>
          <w:rFonts w:asciiTheme="minorHAnsi" w:hAnsiTheme="minorHAnsi" w:cstheme="minorHAnsi"/>
          <w:szCs w:val="28"/>
        </w:rPr>
      </w:pPr>
      <w:r>
        <w:rPr>
          <w:rFonts w:asciiTheme="minorHAnsi" w:hAnsiTheme="minorHAnsi" w:cstheme="minorHAnsi"/>
          <w:szCs w:val="28"/>
        </w:rPr>
        <w:t>成立由区委、区政府主要领导任组长的大兴区秸秆类废弃物综合利用领导小组，由农业农村局、农业服务中心牵头，财政局、发改委、生态环境局等多部门参与，加强秸秆类废弃物综合利用的统筹推进和顶层设计，建立推进工作联动机制，加强部门协作配合，统筹研究解决方案实施中遇到的问题，形成推进秸秆类废弃物综合利用的合力。将秸秆类废弃物综合利用作为推进节能减排、发展循环经济、促进农村生态文明建设和乡村振兴的一项工作内容，纳入重要议事日程。进一步加强领导，明确分工、加强配合，做好统筹规划和组织协调。认真组织实施，做到领导到位、责任到人、目标明确、重点突出，将主要目标和重点任务逐级分解到各乡镇及有关部门，并抓好各项措施的落实，确保秸秆类废弃物综合利用工作取得实效。</w:t>
      </w:r>
    </w:p>
    <w:p>
      <w:pPr>
        <w:pStyle w:val="3"/>
        <w:rPr>
          <w:rFonts w:cstheme="minorHAnsi"/>
        </w:rPr>
      </w:pPr>
      <w:bookmarkStart w:id="65" w:name="_Toc119659812"/>
      <w:r>
        <w:rPr>
          <w:rFonts w:cstheme="minorHAnsi"/>
        </w:rPr>
        <w:t>（二）完善政策措施，加大资金投入</w:t>
      </w:r>
      <w:bookmarkEnd w:id="65"/>
    </w:p>
    <w:p>
      <w:pPr>
        <w:widowControl/>
        <w:spacing w:line="240" w:lineRule="auto"/>
        <w:ind w:firstLine="560" w:firstLineChars="200"/>
        <w:rPr>
          <w:rFonts w:asciiTheme="minorHAnsi" w:hAnsiTheme="minorHAnsi" w:cstheme="minorHAnsi"/>
          <w:szCs w:val="28"/>
        </w:rPr>
      </w:pPr>
      <w:r>
        <w:rPr>
          <w:rFonts w:asciiTheme="minorHAnsi" w:hAnsiTheme="minorHAnsi" w:cstheme="minorHAnsi"/>
          <w:szCs w:val="28"/>
        </w:rPr>
        <w:t>认真落实国家和北京市相关激励政策和措施，制定出台秸秆类废弃物综合利用相关政策措施，建立政策引导、市场运作的秸秆类废弃物综合利用工作机制，切实保障秸秆类废弃物综合利用的用地需求，研究出台有利于加快秸秆、瓜秧尾菜等废弃物综合利用的财政资金支持、用水用电、投融资、财税等扶持政策，进一步完善相关政策措施和体制机制。积极争取国家、北京市各项涉农财政补助资金，加大区级财政资金的支持力度，探索建立以秸秆、瓜秧尾菜资源化利用等绿色低碳为导向的补贴补偿制度，创新建设和运营保障补贴机制，如秸秆高值利用站点用地用电补贴、秸秆类废弃物综合利用相关农机购置补贴、肥料化和基料化利用产品补贴等，逐步推动秸秆类废弃物综合利用市场化运行，加快构建政府有效引导、市场主导推进、农民积极参与的秸秆类废弃物综合利用新格局。</w:t>
      </w:r>
    </w:p>
    <w:p>
      <w:pPr>
        <w:pStyle w:val="3"/>
        <w:rPr>
          <w:rFonts w:cstheme="minorHAnsi"/>
        </w:rPr>
      </w:pPr>
      <w:bookmarkStart w:id="66" w:name="_Toc119659813"/>
      <w:r>
        <w:rPr>
          <w:rFonts w:cstheme="minorHAnsi"/>
        </w:rPr>
        <w:t>（三）强化科技支撑，培育经营主体</w:t>
      </w:r>
      <w:bookmarkEnd w:id="66"/>
    </w:p>
    <w:p>
      <w:pPr>
        <w:widowControl/>
        <w:spacing w:line="240" w:lineRule="auto"/>
        <w:ind w:firstLine="560" w:firstLineChars="200"/>
        <w:rPr>
          <w:rFonts w:asciiTheme="minorHAnsi" w:hAnsiTheme="minorHAnsi" w:cstheme="minorHAnsi"/>
          <w:szCs w:val="28"/>
        </w:rPr>
      </w:pPr>
      <w:r>
        <w:rPr>
          <w:rFonts w:asciiTheme="minorHAnsi" w:hAnsiTheme="minorHAnsi" w:cstheme="minorHAnsi"/>
          <w:szCs w:val="28"/>
        </w:rPr>
        <w:t>鼓励引导各秸秆类废弃物综合利用主体与中国农业大学、中国农业科学院、北京市农学院等高校及科研院所加强合作，开展秸秆类废弃物综合利用科技创新，鼓励开发、引进先进实用的秸秆类废弃物综合利用技术工艺和装备，扶持引导基层服务组织展，加快秸秆类废弃物综合利用技术的推广应用，推动产学研用深度融合。积极开展农业新型经营主体技术培训，培养一批有文化、懂技术、善经营、会管理的农村实用人才队伍，为秸秆类废弃物综合利用提供强有力的人才支撑。鼓励和支持各类新型农业经营主体参与秸秆类废弃物综合利用，培育壮大一批规模化利用市场主体，延伸产业链、提升价值链，发挥示范引领作用。科学推进农业废弃物收集、处理、循环利用社会化服务，支持发展专业化服务组织，推动秸秆类废弃物综合利用产业结构优化和提质增效。</w:t>
      </w:r>
    </w:p>
    <w:p>
      <w:pPr>
        <w:pStyle w:val="3"/>
        <w:rPr>
          <w:rFonts w:cstheme="minorHAnsi"/>
        </w:rPr>
      </w:pPr>
      <w:bookmarkStart w:id="67" w:name="_Toc119659814"/>
      <w:r>
        <w:rPr>
          <w:rFonts w:cstheme="minorHAnsi"/>
        </w:rPr>
        <w:t>（四）做好指导服务，加大宣传力度</w:t>
      </w:r>
      <w:bookmarkEnd w:id="67"/>
    </w:p>
    <w:p>
      <w:pPr>
        <w:widowControl/>
        <w:spacing w:line="240" w:lineRule="auto"/>
        <w:ind w:firstLine="560" w:firstLineChars="200"/>
        <w:rPr>
          <w:rFonts w:asciiTheme="minorHAnsi" w:hAnsiTheme="minorHAnsi" w:cstheme="minorHAnsi"/>
          <w:szCs w:val="28"/>
        </w:rPr>
      </w:pPr>
      <w:r>
        <w:rPr>
          <w:rFonts w:asciiTheme="minorHAnsi" w:hAnsiTheme="minorHAnsi" w:cstheme="minorHAnsi"/>
          <w:szCs w:val="28"/>
        </w:rPr>
        <w:t>强化农业生产主体及农户的秸秆类废弃物综合利用意识，定期组织相关行业主管人员、企业管理人员、专业大户、合作社社员等开展培训，进一步抓好秸秆科学还田、瓜秧尾菜堆肥发酵、果树枝条资源化利用等实用技术指导和操作人员培训，提高技术普及率。充分发挥农村基层组织和服务组织的作用，开展农机作业、农业废弃物分类收储运规范等多种形式的培训，大力推广实用成熟技术。加强秸秆禁烧和综合利用工作的宣传报道，在各乡镇增设宣传栏，并充分利用报纸、电视、互联网等媒体，通过广播、微信群、入户讲解等形式，开展主题科普宣传，包括秸秆类废弃物综合利用相关政策、重要文件、重点活动以及好经验、好做法等，积极引导社会公众参与，让秸秆、瓜秧尾菜、果树枝条等资源化处理利用变成农民的自觉行动。</w:t>
      </w:r>
    </w:p>
    <w:p>
      <w:pPr>
        <w:pStyle w:val="3"/>
        <w:rPr>
          <w:rFonts w:cstheme="minorHAnsi"/>
        </w:rPr>
      </w:pPr>
      <w:bookmarkStart w:id="68" w:name="_Toc119659815"/>
      <w:r>
        <w:rPr>
          <w:rFonts w:cstheme="minorHAnsi"/>
        </w:rPr>
        <w:t>（五）健全管理机制，完善监督考核</w:t>
      </w:r>
      <w:bookmarkEnd w:id="68"/>
    </w:p>
    <w:p>
      <w:pPr>
        <w:widowControl/>
        <w:spacing w:line="240" w:lineRule="auto"/>
        <w:ind w:firstLine="560" w:firstLineChars="200"/>
        <w:rPr>
          <w:rFonts w:asciiTheme="minorHAnsi" w:hAnsiTheme="minorHAnsi" w:cstheme="minorHAnsi"/>
          <w:szCs w:val="28"/>
        </w:rPr>
      </w:pPr>
      <w:r>
        <w:rPr>
          <w:rFonts w:asciiTheme="minorHAnsi" w:hAnsiTheme="minorHAnsi" w:cstheme="minorHAnsi"/>
          <w:szCs w:val="28"/>
        </w:rPr>
        <w:t>各级农业农村部门要根据方案总体目标，结合当地实际制定工作方案，进一步细化目标任务、时间进度和质量要求，层层分解任务，落实责任主体。区、镇两级政府要将秸秆类废弃物综合利用纳入政府工作目标考核体系，作为生态文明建设考核的组成部分；完善考核评价体系，将各项任务进行分解量化，按照日常考核和年度考核相结合的方式，对各相关部门进行考核并将结果纳入年度绩效考核。对秸秆类废弃物综合利用情况进行专项检查，实行奖惩兑现，对任务完成好、建设质量高、效果明显、成绩突出的单位和个人给予表彰奖励；对重视不够、措施不落实、未完成目标任务的单位，要实施通报批评、约谈、问责等措施。同时，强化社会监督，通过多种形式听取社会公众意见，充分反映公众意愿，自觉接受公众监督。</w:t>
      </w:r>
      <w:bookmarkEnd w:id="17"/>
    </w:p>
    <w:p>
      <w:pPr>
        <w:widowControl/>
        <w:spacing w:line="240" w:lineRule="auto"/>
        <w:jc w:val="left"/>
        <w:rPr>
          <w:rFonts w:asciiTheme="minorHAnsi" w:hAnsiTheme="minorHAnsi" w:cstheme="minorHAnsi"/>
          <w:szCs w:val="28"/>
        </w:rPr>
        <w:sectPr>
          <w:pgSz w:w="11906" w:h="16838"/>
          <w:pgMar w:top="1440" w:right="1800" w:bottom="1440" w:left="1800" w:header="851" w:footer="992" w:gutter="0"/>
          <w:cols w:space="425" w:num="1"/>
          <w:docGrid w:type="lines" w:linePitch="312" w:charSpace="0"/>
        </w:sectPr>
      </w:pPr>
    </w:p>
    <w:p>
      <w:pPr>
        <w:pStyle w:val="32"/>
        <w:rPr>
          <w:rFonts w:asciiTheme="minorHAnsi" w:hAnsiTheme="minorHAnsi" w:cstheme="minorHAnsi"/>
        </w:rPr>
      </w:pPr>
      <w:r>
        <w:rPr>
          <w:rFonts w:asciiTheme="minorHAnsi" w:hAnsiTheme="minorHAnsi" w:cstheme="minorHAnsi"/>
        </w:rPr>
        <w:drawing>
          <wp:inline distT="0" distB="0" distL="0" distR="0">
            <wp:extent cx="6634480" cy="938085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35114" cy="9381071"/>
                    </a:xfrm>
                    <a:prstGeom prst="rect">
                      <a:avLst/>
                    </a:prstGeom>
                    <a:noFill/>
                    <a:ln>
                      <a:noFill/>
                    </a:ln>
                  </pic:spPr>
                </pic:pic>
              </a:graphicData>
            </a:graphic>
          </wp:inline>
        </w:drawing>
      </w:r>
      <w:r>
        <w:rPr>
          <w:rFonts w:asciiTheme="minorHAnsi" w:hAnsiTheme="minorHAnsi" w:cstheme="minorHAnsi"/>
        </w:rPr>
        <w:drawing>
          <wp:inline distT="0" distB="0" distL="0" distR="0">
            <wp:extent cx="6634480" cy="938085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35114" cy="9381069"/>
                    </a:xfrm>
                    <a:prstGeom prst="rect">
                      <a:avLst/>
                    </a:prstGeom>
                    <a:noFill/>
                    <a:ln>
                      <a:noFill/>
                    </a:ln>
                  </pic:spPr>
                </pic:pic>
              </a:graphicData>
            </a:graphic>
          </wp:inline>
        </w:drawing>
      </w:r>
      <w:r>
        <w:rPr>
          <w:rFonts w:asciiTheme="minorHAnsi" w:hAnsiTheme="minorHAnsi" w:cstheme="minorHAnsi"/>
        </w:rPr>
        <w:drawing>
          <wp:inline distT="0" distB="0" distL="0" distR="0">
            <wp:extent cx="6634480" cy="938085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35113" cy="9381069"/>
                    </a:xfrm>
                    <a:prstGeom prst="rect">
                      <a:avLst/>
                    </a:prstGeom>
                    <a:noFill/>
                    <a:ln>
                      <a:noFill/>
                    </a:ln>
                  </pic:spPr>
                </pic:pic>
              </a:graphicData>
            </a:graphic>
          </wp:inline>
        </w:drawing>
      </w:r>
      <w:r>
        <w:rPr>
          <w:rFonts w:asciiTheme="minorHAnsi" w:hAnsiTheme="minorHAnsi" w:cstheme="minorHAnsi"/>
        </w:rPr>
        <w:drawing>
          <wp:inline distT="0" distB="0" distL="0" distR="0">
            <wp:extent cx="6634480" cy="938085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35112" cy="9381066"/>
                    </a:xfrm>
                    <a:prstGeom prst="rect">
                      <a:avLst/>
                    </a:prstGeom>
                    <a:noFill/>
                    <a:ln>
                      <a:noFill/>
                    </a:ln>
                  </pic:spPr>
                </pic:pic>
              </a:graphicData>
            </a:graphic>
          </wp:inline>
        </w:drawing>
      </w:r>
    </w:p>
    <w:sectPr>
      <w:footerReference r:id="rId9" w:type="default"/>
      <w:pgSz w:w="11906" w:h="16838"/>
      <w:pgMar w:top="1134" w:right="720" w:bottom="1134" w:left="720" w:header="397" w:footer="567" w:gutter="0"/>
      <w:cols w:space="425" w:num="1"/>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43798250"/>
    </w:sdtPr>
    <w:sdtContent>
      <w:p>
        <w:pPr>
          <w:pStyle w:val="8"/>
          <w:jc w:val="center"/>
        </w:pPr>
        <w:r>
          <w:fldChar w:fldCharType="begin"/>
        </w:r>
        <w:r>
          <w:instrText xml:space="preserve">PAGE   \* MERGEFORMAT</w:instrText>
        </w:r>
        <w:r>
          <w:fldChar w:fldCharType="separate"/>
        </w:r>
        <w:r>
          <w:t>III</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41487941"/>
    </w:sdtPr>
    <w:sdtContent>
      <w:p>
        <w:pPr>
          <w:pStyle w:val="8"/>
          <w:jc w:val="center"/>
        </w:pPr>
        <w:r>
          <w:fldChar w:fldCharType="begin"/>
        </w:r>
        <w:r>
          <w:instrText xml:space="preserve">PAGE   \* MERGEFORMAT</w:instrText>
        </w:r>
        <w:r>
          <w:fldChar w:fldCharType="separate"/>
        </w:r>
        <w:r>
          <w:rPr>
            <w:lang w:val="zh-CN"/>
          </w:rPr>
          <w:t>6</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0456916"/>
    </w:sdtPr>
    <w:sdtContent>
      <w:p>
        <w:pPr>
          <w:pStyle w:val="8"/>
          <w:jc w:val="center"/>
        </w:pPr>
        <w:r>
          <w:fldChar w:fldCharType="begin"/>
        </w:r>
        <w:r>
          <w:instrText xml:space="preserve">PAGE   \* MERGEFORMAT</w:instrText>
        </w:r>
        <w:r>
          <w:fldChar w:fldCharType="separate"/>
        </w:r>
        <w:r>
          <w:rPr>
            <w:lang w:val="zh-CN"/>
          </w:rPr>
          <w:t>6</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rPr>
        <w:sz w:val="21"/>
        <w:szCs w:val="21"/>
      </w:rPr>
    </w:pPr>
    <w:r>
      <w:rPr>
        <w:sz w:val="18"/>
      </w:rPr>
      <w:pict>
        <v:shape id="PowerPlusWaterMarkObject34860" o:spid="_x0000_s2049" o:spt="136" type="#_x0000_t136" style="position:absolute;left:0pt;height:58.15pt;width:529.1pt;mso-position-horizontal:center;mso-position-horizontal-relative:margin;mso-position-vertical:center;mso-position-vertical-relative:margin;rotation:-2949120f;z-index:-251658240;mso-width-relative:page;mso-height-relative:page;" fillcolor="#C0C0C0" filled="t" stroked="f" coordsize="21600,21600" adj="10800">
          <v:path/>
          <v:fill on="t" opacity="32768f" focussize="0,0"/>
          <v:stroke on="f"/>
          <v:imagedata o:title=""/>
          <o:lock v:ext="edit" aspectratio="t"/>
          <v:textpath on="t" fitshape="t" fitpath="t" trim="t" xscale="f" string="北京市大兴区人民政府公报" style="font-family:微软雅黑;font-size:36pt;v-same-letter-heights:f;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r>
      <w:rPr>
        <w:sz w:val="18"/>
      </w:rPr>
      <w:pict>
        <v:shape id="_x0000_s2050" o:spid="_x0000_s2050" o:spt="136" type="#_x0000_t136" style="position:absolute;left:0pt;height:58.15pt;width:529.1pt;mso-position-horizontal:center;mso-position-horizontal-relative:margin;mso-position-vertical:center;mso-position-vertical-relative:margin;rotation:-2949120f;z-index:-251657216;mso-width-relative:page;mso-height-relative:page;" fillcolor="#C0C0C0" filled="t" stroked="f" coordsize="21600,21600" adj="10800">
          <v:path/>
          <v:fill on="t" opacity="32768f" focussize="0,0"/>
          <v:stroke on="f"/>
          <v:imagedata o:title=""/>
          <o:lock v:ext="edit" aspectratio="t"/>
          <v:textpath on="t" fitshape="t" fitpath="t" trim="t" xscale="f" string="北京市大兴区人民政府公报" style="font-family:微软雅黑;font-size:36pt;v-same-letter-heights:f;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w:pict>
        <v:shape id="_x0000_s2051" o:spid="_x0000_s2051" o:spt="136" type="#_x0000_t136" style="position:absolute;left:0pt;height:58.15pt;width:529.1pt;mso-position-horizontal:center;mso-position-horizontal-relative:margin;mso-position-vertical:center;mso-position-vertical-relative:margin;rotation:-2949120f;z-index:-251656192;mso-width-relative:page;mso-height-relative:page;" fillcolor="#C0C0C0" filled="t" stroked="f" coordsize="21600,21600" adj="10800">
          <v:path/>
          <v:fill on="t" opacity="32768f" focussize="0,0"/>
          <v:stroke on="f"/>
          <v:imagedata o:title=""/>
          <o:lock v:ext="edit" aspectratio="t"/>
          <v:textpath on="t" fitshape="t" fitpath="t" trim="t" xscale="f" string="北京市大兴区人民政府公报" style="font-family:微软雅黑;font-size:36pt;v-same-letter-heights:f;v-text-align:center;"/>
        </v:shape>
      </w:pict>
    </w:r>
    <w:r>
      <w:rPr>
        <w:rFonts w:hint="eastAsia"/>
        <w:sz w:val="21"/>
        <w:szCs w:val="21"/>
      </w:rPr>
      <w:t>北京市大兴区秸秆类废弃物综合利用行动方案（202</w:t>
    </w:r>
    <w:r>
      <w:rPr>
        <w:sz w:val="21"/>
        <w:szCs w:val="21"/>
      </w:rPr>
      <w:t>3</w:t>
    </w:r>
    <w:r>
      <w:rPr>
        <w:rFonts w:hint="eastAsia"/>
        <w:sz w:val="21"/>
        <w:szCs w:val="21"/>
      </w:rPr>
      <w:t>-202</w:t>
    </w:r>
    <w:r>
      <w:rPr>
        <w:sz w:val="21"/>
        <w:szCs w:val="21"/>
      </w:rPr>
      <w:t>5</w:t>
    </w:r>
    <w:r>
      <w:rPr>
        <w:rFonts w:hint="eastAsia"/>
        <w:sz w:val="21"/>
        <w:szCs w:val="21"/>
      </w:rPr>
      <w:t>年）</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val="1"/>
  <w:bordersDoNotSurroundFooter w:val="1"/>
  <w:documentProtection w:enforcement="0"/>
  <w:defaultTabStop w:val="420"/>
  <w:drawingGridHorizontalSpacing w:val="140"/>
  <w:drawingGridVerticalSpacing w:val="381"/>
  <w:displayHorizontalDrawingGridEvery w:val="2"/>
  <w:characterSpacingControl w:val="doNotCompress"/>
  <w:hdrShapeDefaults>
    <o:shapelayout v:ext="edit">
      <o:idmap v:ext="edit" data="2"/>
    </o:shapelayout>
  </w:hdrShapeDefault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A8F"/>
    <w:rsid w:val="0001005E"/>
    <w:rsid w:val="00011FB6"/>
    <w:rsid w:val="00013149"/>
    <w:rsid w:val="00024FEC"/>
    <w:rsid w:val="00025C82"/>
    <w:rsid w:val="000332F4"/>
    <w:rsid w:val="000352E0"/>
    <w:rsid w:val="000355B6"/>
    <w:rsid w:val="00036611"/>
    <w:rsid w:val="00036A04"/>
    <w:rsid w:val="0003728F"/>
    <w:rsid w:val="000374FB"/>
    <w:rsid w:val="00040F61"/>
    <w:rsid w:val="00041E9D"/>
    <w:rsid w:val="00041F0F"/>
    <w:rsid w:val="00042F89"/>
    <w:rsid w:val="000446D7"/>
    <w:rsid w:val="00052203"/>
    <w:rsid w:val="0005273A"/>
    <w:rsid w:val="00056C41"/>
    <w:rsid w:val="00056CC7"/>
    <w:rsid w:val="0006125E"/>
    <w:rsid w:val="0006144F"/>
    <w:rsid w:val="00061D2D"/>
    <w:rsid w:val="00063D8C"/>
    <w:rsid w:val="00065810"/>
    <w:rsid w:val="000718E6"/>
    <w:rsid w:val="00072ECF"/>
    <w:rsid w:val="000733EF"/>
    <w:rsid w:val="00073924"/>
    <w:rsid w:val="0007495E"/>
    <w:rsid w:val="0007514C"/>
    <w:rsid w:val="0007552E"/>
    <w:rsid w:val="00077617"/>
    <w:rsid w:val="00080048"/>
    <w:rsid w:val="00080164"/>
    <w:rsid w:val="00080282"/>
    <w:rsid w:val="000806ED"/>
    <w:rsid w:val="00080B4C"/>
    <w:rsid w:val="000816DA"/>
    <w:rsid w:val="0008404C"/>
    <w:rsid w:val="00084483"/>
    <w:rsid w:val="00084696"/>
    <w:rsid w:val="00087AA0"/>
    <w:rsid w:val="00091358"/>
    <w:rsid w:val="000923A1"/>
    <w:rsid w:val="00093535"/>
    <w:rsid w:val="00094E7B"/>
    <w:rsid w:val="00096035"/>
    <w:rsid w:val="00096CBB"/>
    <w:rsid w:val="000A5E6D"/>
    <w:rsid w:val="000A64FF"/>
    <w:rsid w:val="000A70DD"/>
    <w:rsid w:val="000B02C5"/>
    <w:rsid w:val="000B7445"/>
    <w:rsid w:val="000C275E"/>
    <w:rsid w:val="000C3D2B"/>
    <w:rsid w:val="000C47B4"/>
    <w:rsid w:val="000C7EE4"/>
    <w:rsid w:val="000D6258"/>
    <w:rsid w:val="000D78C7"/>
    <w:rsid w:val="000E0157"/>
    <w:rsid w:val="000E132D"/>
    <w:rsid w:val="000E311B"/>
    <w:rsid w:val="000E4185"/>
    <w:rsid w:val="000E7604"/>
    <w:rsid w:val="000F5AE1"/>
    <w:rsid w:val="000F7805"/>
    <w:rsid w:val="00100F7D"/>
    <w:rsid w:val="00102C86"/>
    <w:rsid w:val="0010331E"/>
    <w:rsid w:val="001040FF"/>
    <w:rsid w:val="00104FB3"/>
    <w:rsid w:val="001072BC"/>
    <w:rsid w:val="001074D9"/>
    <w:rsid w:val="00112E4B"/>
    <w:rsid w:val="00115981"/>
    <w:rsid w:val="00116273"/>
    <w:rsid w:val="0011631A"/>
    <w:rsid w:val="001177E6"/>
    <w:rsid w:val="00120F4D"/>
    <w:rsid w:val="0012170E"/>
    <w:rsid w:val="00121EAD"/>
    <w:rsid w:val="00122BB6"/>
    <w:rsid w:val="00124278"/>
    <w:rsid w:val="00125B9B"/>
    <w:rsid w:val="001271E9"/>
    <w:rsid w:val="00127E94"/>
    <w:rsid w:val="0013051A"/>
    <w:rsid w:val="00130E7D"/>
    <w:rsid w:val="00132E0F"/>
    <w:rsid w:val="00133D80"/>
    <w:rsid w:val="001340DD"/>
    <w:rsid w:val="00134ECC"/>
    <w:rsid w:val="00136B39"/>
    <w:rsid w:val="00137863"/>
    <w:rsid w:val="00137B14"/>
    <w:rsid w:val="00140025"/>
    <w:rsid w:val="00140AF4"/>
    <w:rsid w:val="00141AB1"/>
    <w:rsid w:val="00143FA3"/>
    <w:rsid w:val="0014427B"/>
    <w:rsid w:val="00145A09"/>
    <w:rsid w:val="0015125D"/>
    <w:rsid w:val="00153251"/>
    <w:rsid w:val="00153947"/>
    <w:rsid w:val="0015412C"/>
    <w:rsid w:val="001549F0"/>
    <w:rsid w:val="00164693"/>
    <w:rsid w:val="001649F1"/>
    <w:rsid w:val="00167184"/>
    <w:rsid w:val="00171544"/>
    <w:rsid w:val="0017185D"/>
    <w:rsid w:val="0017460E"/>
    <w:rsid w:val="00174CAA"/>
    <w:rsid w:val="00175FFE"/>
    <w:rsid w:val="0018219D"/>
    <w:rsid w:val="00185354"/>
    <w:rsid w:val="00186FAB"/>
    <w:rsid w:val="00191116"/>
    <w:rsid w:val="00191C84"/>
    <w:rsid w:val="00192237"/>
    <w:rsid w:val="001946B4"/>
    <w:rsid w:val="00195375"/>
    <w:rsid w:val="00196B83"/>
    <w:rsid w:val="0019751C"/>
    <w:rsid w:val="001A0E6E"/>
    <w:rsid w:val="001A44AE"/>
    <w:rsid w:val="001A5037"/>
    <w:rsid w:val="001A5CCC"/>
    <w:rsid w:val="001A6814"/>
    <w:rsid w:val="001B0A88"/>
    <w:rsid w:val="001B211F"/>
    <w:rsid w:val="001B5F45"/>
    <w:rsid w:val="001C3310"/>
    <w:rsid w:val="001C4162"/>
    <w:rsid w:val="001C70AC"/>
    <w:rsid w:val="001C7582"/>
    <w:rsid w:val="001C7C6E"/>
    <w:rsid w:val="001D0967"/>
    <w:rsid w:val="001D292B"/>
    <w:rsid w:val="001D2A36"/>
    <w:rsid w:val="001D2CDD"/>
    <w:rsid w:val="001D63E2"/>
    <w:rsid w:val="001D6EC5"/>
    <w:rsid w:val="001E0CBC"/>
    <w:rsid w:val="001E3A61"/>
    <w:rsid w:val="001F2EA0"/>
    <w:rsid w:val="001F7F7E"/>
    <w:rsid w:val="00201AFF"/>
    <w:rsid w:val="00202B48"/>
    <w:rsid w:val="00206506"/>
    <w:rsid w:val="00211E6D"/>
    <w:rsid w:val="002121C8"/>
    <w:rsid w:val="002132C1"/>
    <w:rsid w:val="00216096"/>
    <w:rsid w:val="0021716B"/>
    <w:rsid w:val="002210F2"/>
    <w:rsid w:val="00221A9F"/>
    <w:rsid w:val="002226E0"/>
    <w:rsid w:val="00223B46"/>
    <w:rsid w:val="002241C0"/>
    <w:rsid w:val="00225EC6"/>
    <w:rsid w:val="00226624"/>
    <w:rsid w:val="00232C24"/>
    <w:rsid w:val="0024273F"/>
    <w:rsid w:val="0024315F"/>
    <w:rsid w:val="00244B18"/>
    <w:rsid w:val="00252376"/>
    <w:rsid w:val="002535CF"/>
    <w:rsid w:val="00256EB1"/>
    <w:rsid w:val="00262AD2"/>
    <w:rsid w:val="002642A2"/>
    <w:rsid w:val="00273AFF"/>
    <w:rsid w:val="00277952"/>
    <w:rsid w:val="0028186C"/>
    <w:rsid w:val="00284532"/>
    <w:rsid w:val="00285D91"/>
    <w:rsid w:val="00292489"/>
    <w:rsid w:val="00295CE0"/>
    <w:rsid w:val="00296A04"/>
    <w:rsid w:val="002A0CCF"/>
    <w:rsid w:val="002A204E"/>
    <w:rsid w:val="002A6F12"/>
    <w:rsid w:val="002B1AF6"/>
    <w:rsid w:val="002B1BAB"/>
    <w:rsid w:val="002C5A5C"/>
    <w:rsid w:val="002C5AAF"/>
    <w:rsid w:val="002C6229"/>
    <w:rsid w:val="002C721E"/>
    <w:rsid w:val="002D0031"/>
    <w:rsid w:val="002D17F4"/>
    <w:rsid w:val="002D1F7F"/>
    <w:rsid w:val="002D5729"/>
    <w:rsid w:val="002D5BE6"/>
    <w:rsid w:val="002D676D"/>
    <w:rsid w:val="002E0FF6"/>
    <w:rsid w:val="002E1247"/>
    <w:rsid w:val="002E2725"/>
    <w:rsid w:val="002E2C2C"/>
    <w:rsid w:val="002E5299"/>
    <w:rsid w:val="002E6271"/>
    <w:rsid w:val="002E6EAC"/>
    <w:rsid w:val="002F153B"/>
    <w:rsid w:val="002F2206"/>
    <w:rsid w:val="00300024"/>
    <w:rsid w:val="00300305"/>
    <w:rsid w:val="00300C1A"/>
    <w:rsid w:val="00301425"/>
    <w:rsid w:val="00302058"/>
    <w:rsid w:val="003033C3"/>
    <w:rsid w:val="00304508"/>
    <w:rsid w:val="00305C29"/>
    <w:rsid w:val="0030660C"/>
    <w:rsid w:val="003111CD"/>
    <w:rsid w:val="00312808"/>
    <w:rsid w:val="00313768"/>
    <w:rsid w:val="00313B60"/>
    <w:rsid w:val="0031518B"/>
    <w:rsid w:val="00320514"/>
    <w:rsid w:val="00321FAB"/>
    <w:rsid w:val="003267DB"/>
    <w:rsid w:val="0032729C"/>
    <w:rsid w:val="00327427"/>
    <w:rsid w:val="00327CD9"/>
    <w:rsid w:val="003305FF"/>
    <w:rsid w:val="003310CD"/>
    <w:rsid w:val="003356CB"/>
    <w:rsid w:val="0033583F"/>
    <w:rsid w:val="003363E6"/>
    <w:rsid w:val="0033644B"/>
    <w:rsid w:val="003368AA"/>
    <w:rsid w:val="00336EB4"/>
    <w:rsid w:val="00343D17"/>
    <w:rsid w:val="00344B39"/>
    <w:rsid w:val="00345589"/>
    <w:rsid w:val="00346BE6"/>
    <w:rsid w:val="003505B7"/>
    <w:rsid w:val="003508DB"/>
    <w:rsid w:val="003546A0"/>
    <w:rsid w:val="00355226"/>
    <w:rsid w:val="00361963"/>
    <w:rsid w:val="00361EDF"/>
    <w:rsid w:val="00364BD7"/>
    <w:rsid w:val="003671CC"/>
    <w:rsid w:val="00367549"/>
    <w:rsid w:val="00367A3F"/>
    <w:rsid w:val="00370CB5"/>
    <w:rsid w:val="00371742"/>
    <w:rsid w:val="00371CB7"/>
    <w:rsid w:val="00372301"/>
    <w:rsid w:val="003744AA"/>
    <w:rsid w:val="0038227A"/>
    <w:rsid w:val="00383E9F"/>
    <w:rsid w:val="00386338"/>
    <w:rsid w:val="00387BD3"/>
    <w:rsid w:val="003968A6"/>
    <w:rsid w:val="003973CF"/>
    <w:rsid w:val="003A1F92"/>
    <w:rsid w:val="003A71CB"/>
    <w:rsid w:val="003A78AE"/>
    <w:rsid w:val="003B0179"/>
    <w:rsid w:val="003B4334"/>
    <w:rsid w:val="003B47BA"/>
    <w:rsid w:val="003B4847"/>
    <w:rsid w:val="003B4E3B"/>
    <w:rsid w:val="003B5AFD"/>
    <w:rsid w:val="003B7B8C"/>
    <w:rsid w:val="003B7EDC"/>
    <w:rsid w:val="003C1835"/>
    <w:rsid w:val="003C78AC"/>
    <w:rsid w:val="003D1295"/>
    <w:rsid w:val="003D1E5A"/>
    <w:rsid w:val="003D3051"/>
    <w:rsid w:val="003D5FD8"/>
    <w:rsid w:val="003E4C11"/>
    <w:rsid w:val="003E6F81"/>
    <w:rsid w:val="003F1325"/>
    <w:rsid w:val="003F2C17"/>
    <w:rsid w:val="003F41A4"/>
    <w:rsid w:val="003F451B"/>
    <w:rsid w:val="003F50CB"/>
    <w:rsid w:val="003F6D8A"/>
    <w:rsid w:val="003F6FC9"/>
    <w:rsid w:val="003F72C6"/>
    <w:rsid w:val="0040359C"/>
    <w:rsid w:val="004048B5"/>
    <w:rsid w:val="00406AF5"/>
    <w:rsid w:val="004149B9"/>
    <w:rsid w:val="00414B75"/>
    <w:rsid w:val="004171DB"/>
    <w:rsid w:val="00420B50"/>
    <w:rsid w:val="004222B7"/>
    <w:rsid w:val="004257A0"/>
    <w:rsid w:val="00430143"/>
    <w:rsid w:val="004303D2"/>
    <w:rsid w:val="00430BCD"/>
    <w:rsid w:val="004319D4"/>
    <w:rsid w:val="004341A1"/>
    <w:rsid w:val="00434D95"/>
    <w:rsid w:val="00447C65"/>
    <w:rsid w:val="00447DF1"/>
    <w:rsid w:val="00450F68"/>
    <w:rsid w:val="0045189E"/>
    <w:rsid w:val="00451A48"/>
    <w:rsid w:val="004526DA"/>
    <w:rsid w:val="00455E29"/>
    <w:rsid w:val="00456618"/>
    <w:rsid w:val="0045776A"/>
    <w:rsid w:val="004611ED"/>
    <w:rsid w:val="004613E4"/>
    <w:rsid w:val="004623E8"/>
    <w:rsid w:val="004638F9"/>
    <w:rsid w:val="00465194"/>
    <w:rsid w:val="00466B90"/>
    <w:rsid w:val="004671E3"/>
    <w:rsid w:val="00467335"/>
    <w:rsid w:val="00471947"/>
    <w:rsid w:val="00473A13"/>
    <w:rsid w:val="00476B6A"/>
    <w:rsid w:val="00476FF8"/>
    <w:rsid w:val="0048098A"/>
    <w:rsid w:val="00487622"/>
    <w:rsid w:val="00492F39"/>
    <w:rsid w:val="00493E95"/>
    <w:rsid w:val="00496311"/>
    <w:rsid w:val="00497517"/>
    <w:rsid w:val="004A3DE6"/>
    <w:rsid w:val="004A58D1"/>
    <w:rsid w:val="004A6FDD"/>
    <w:rsid w:val="004A7512"/>
    <w:rsid w:val="004A7ACB"/>
    <w:rsid w:val="004B2BC3"/>
    <w:rsid w:val="004B330D"/>
    <w:rsid w:val="004B5684"/>
    <w:rsid w:val="004B7940"/>
    <w:rsid w:val="004C3009"/>
    <w:rsid w:val="004C3859"/>
    <w:rsid w:val="004C4839"/>
    <w:rsid w:val="004C5AF7"/>
    <w:rsid w:val="004C6E8E"/>
    <w:rsid w:val="004C707D"/>
    <w:rsid w:val="004C788B"/>
    <w:rsid w:val="004D0D6E"/>
    <w:rsid w:val="004D3A47"/>
    <w:rsid w:val="004D4E6C"/>
    <w:rsid w:val="004D6836"/>
    <w:rsid w:val="004E1715"/>
    <w:rsid w:val="004E5109"/>
    <w:rsid w:val="004E5FC3"/>
    <w:rsid w:val="004E60BF"/>
    <w:rsid w:val="004E69C2"/>
    <w:rsid w:val="004F05B1"/>
    <w:rsid w:val="004F12BC"/>
    <w:rsid w:val="004F3988"/>
    <w:rsid w:val="004F480C"/>
    <w:rsid w:val="004F528E"/>
    <w:rsid w:val="005009A3"/>
    <w:rsid w:val="00501D13"/>
    <w:rsid w:val="00502670"/>
    <w:rsid w:val="00505B04"/>
    <w:rsid w:val="005102F8"/>
    <w:rsid w:val="005143ED"/>
    <w:rsid w:val="00514CFB"/>
    <w:rsid w:val="00515890"/>
    <w:rsid w:val="00516DFA"/>
    <w:rsid w:val="00521AB9"/>
    <w:rsid w:val="00522405"/>
    <w:rsid w:val="00522A78"/>
    <w:rsid w:val="005230A1"/>
    <w:rsid w:val="00523861"/>
    <w:rsid w:val="00523AAE"/>
    <w:rsid w:val="00523F7F"/>
    <w:rsid w:val="00532CDA"/>
    <w:rsid w:val="00532F26"/>
    <w:rsid w:val="00535893"/>
    <w:rsid w:val="005370E6"/>
    <w:rsid w:val="00543B15"/>
    <w:rsid w:val="00545D79"/>
    <w:rsid w:val="00547883"/>
    <w:rsid w:val="00550511"/>
    <w:rsid w:val="0055080B"/>
    <w:rsid w:val="0055110F"/>
    <w:rsid w:val="00556026"/>
    <w:rsid w:val="00562110"/>
    <w:rsid w:val="005740CF"/>
    <w:rsid w:val="005745F3"/>
    <w:rsid w:val="00575C6B"/>
    <w:rsid w:val="00580668"/>
    <w:rsid w:val="00581DAE"/>
    <w:rsid w:val="00581EFB"/>
    <w:rsid w:val="00591BC9"/>
    <w:rsid w:val="005930C6"/>
    <w:rsid w:val="005935DD"/>
    <w:rsid w:val="005A1674"/>
    <w:rsid w:val="005A1BD4"/>
    <w:rsid w:val="005A288E"/>
    <w:rsid w:val="005A5EED"/>
    <w:rsid w:val="005B1694"/>
    <w:rsid w:val="005B1886"/>
    <w:rsid w:val="005B287C"/>
    <w:rsid w:val="005B4584"/>
    <w:rsid w:val="005B68B6"/>
    <w:rsid w:val="005C4A90"/>
    <w:rsid w:val="005C6D03"/>
    <w:rsid w:val="005C7412"/>
    <w:rsid w:val="005D134D"/>
    <w:rsid w:val="005D45B8"/>
    <w:rsid w:val="005D5874"/>
    <w:rsid w:val="005D6D71"/>
    <w:rsid w:val="005E2379"/>
    <w:rsid w:val="005E2D5E"/>
    <w:rsid w:val="005E4ABC"/>
    <w:rsid w:val="005E4D78"/>
    <w:rsid w:val="005E5AD9"/>
    <w:rsid w:val="005E5E72"/>
    <w:rsid w:val="005F1356"/>
    <w:rsid w:val="005F14BD"/>
    <w:rsid w:val="005F330D"/>
    <w:rsid w:val="005F6F0C"/>
    <w:rsid w:val="005F7EA8"/>
    <w:rsid w:val="005F7FA3"/>
    <w:rsid w:val="0060039D"/>
    <w:rsid w:val="0060079D"/>
    <w:rsid w:val="0060761E"/>
    <w:rsid w:val="006076DD"/>
    <w:rsid w:val="00607B49"/>
    <w:rsid w:val="00610117"/>
    <w:rsid w:val="00612CAC"/>
    <w:rsid w:val="006133CC"/>
    <w:rsid w:val="00613B63"/>
    <w:rsid w:val="00614B9D"/>
    <w:rsid w:val="00615672"/>
    <w:rsid w:val="00620953"/>
    <w:rsid w:val="006214F4"/>
    <w:rsid w:val="0062705E"/>
    <w:rsid w:val="0063119C"/>
    <w:rsid w:val="00632BE3"/>
    <w:rsid w:val="00632C8F"/>
    <w:rsid w:val="0064074A"/>
    <w:rsid w:val="00640812"/>
    <w:rsid w:val="00642E37"/>
    <w:rsid w:val="00646478"/>
    <w:rsid w:val="00646DDD"/>
    <w:rsid w:val="006526F0"/>
    <w:rsid w:val="006558B6"/>
    <w:rsid w:val="00655F76"/>
    <w:rsid w:val="0066216D"/>
    <w:rsid w:val="00665A23"/>
    <w:rsid w:val="00670895"/>
    <w:rsid w:val="0067342F"/>
    <w:rsid w:val="0067440E"/>
    <w:rsid w:val="00675469"/>
    <w:rsid w:val="00676604"/>
    <w:rsid w:val="0067707C"/>
    <w:rsid w:val="006774D9"/>
    <w:rsid w:val="0068051A"/>
    <w:rsid w:val="00683680"/>
    <w:rsid w:val="006956F8"/>
    <w:rsid w:val="006964BC"/>
    <w:rsid w:val="00697971"/>
    <w:rsid w:val="006A4462"/>
    <w:rsid w:val="006B05D1"/>
    <w:rsid w:val="006B1164"/>
    <w:rsid w:val="006B418D"/>
    <w:rsid w:val="006B46AD"/>
    <w:rsid w:val="006B776D"/>
    <w:rsid w:val="006C106E"/>
    <w:rsid w:val="006C4085"/>
    <w:rsid w:val="006C7BBF"/>
    <w:rsid w:val="006D0B18"/>
    <w:rsid w:val="006D0DB7"/>
    <w:rsid w:val="006E01DC"/>
    <w:rsid w:val="006E06E5"/>
    <w:rsid w:val="006E090E"/>
    <w:rsid w:val="006E209A"/>
    <w:rsid w:val="006E2BFC"/>
    <w:rsid w:val="006E4622"/>
    <w:rsid w:val="006E475B"/>
    <w:rsid w:val="006F17F1"/>
    <w:rsid w:val="006F2F33"/>
    <w:rsid w:val="006F406F"/>
    <w:rsid w:val="006F43F9"/>
    <w:rsid w:val="006F515F"/>
    <w:rsid w:val="006F6A1C"/>
    <w:rsid w:val="006F6C57"/>
    <w:rsid w:val="00701380"/>
    <w:rsid w:val="00711581"/>
    <w:rsid w:val="007177A7"/>
    <w:rsid w:val="00720EAA"/>
    <w:rsid w:val="00721465"/>
    <w:rsid w:val="00721BD5"/>
    <w:rsid w:val="0072635A"/>
    <w:rsid w:val="0072794A"/>
    <w:rsid w:val="00730BEE"/>
    <w:rsid w:val="00730D8D"/>
    <w:rsid w:val="00734CEC"/>
    <w:rsid w:val="00736796"/>
    <w:rsid w:val="007371EA"/>
    <w:rsid w:val="00741C94"/>
    <w:rsid w:val="00741DB8"/>
    <w:rsid w:val="00752BD2"/>
    <w:rsid w:val="00754E08"/>
    <w:rsid w:val="007563F4"/>
    <w:rsid w:val="007565D8"/>
    <w:rsid w:val="00757B40"/>
    <w:rsid w:val="0076008A"/>
    <w:rsid w:val="00762632"/>
    <w:rsid w:val="007632B8"/>
    <w:rsid w:val="00764CF8"/>
    <w:rsid w:val="00766E03"/>
    <w:rsid w:val="00767B66"/>
    <w:rsid w:val="00767D4C"/>
    <w:rsid w:val="00772038"/>
    <w:rsid w:val="0077349D"/>
    <w:rsid w:val="00773DEB"/>
    <w:rsid w:val="00776AC9"/>
    <w:rsid w:val="00776E49"/>
    <w:rsid w:val="00781334"/>
    <w:rsid w:val="00781F68"/>
    <w:rsid w:val="00782A19"/>
    <w:rsid w:val="00783172"/>
    <w:rsid w:val="00784231"/>
    <w:rsid w:val="0078471F"/>
    <w:rsid w:val="00785786"/>
    <w:rsid w:val="007857BC"/>
    <w:rsid w:val="007878D3"/>
    <w:rsid w:val="007879A6"/>
    <w:rsid w:val="007907E4"/>
    <w:rsid w:val="00792EDC"/>
    <w:rsid w:val="00793484"/>
    <w:rsid w:val="00793E82"/>
    <w:rsid w:val="007967E8"/>
    <w:rsid w:val="0079798C"/>
    <w:rsid w:val="00797C28"/>
    <w:rsid w:val="007A0115"/>
    <w:rsid w:val="007A51C3"/>
    <w:rsid w:val="007A63F9"/>
    <w:rsid w:val="007B185D"/>
    <w:rsid w:val="007B26A1"/>
    <w:rsid w:val="007B3B08"/>
    <w:rsid w:val="007B3BEB"/>
    <w:rsid w:val="007B5900"/>
    <w:rsid w:val="007C0421"/>
    <w:rsid w:val="007C0586"/>
    <w:rsid w:val="007C0A7F"/>
    <w:rsid w:val="007C4A52"/>
    <w:rsid w:val="007C647E"/>
    <w:rsid w:val="007C7B7C"/>
    <w:rsid w:val="007D14C9"/>
    <w:rsid w:val="007D1F8A"/>
    <w:rsid w:val="007D3270"/>
    <w:rsid w:val="007D76D1"/>
    <w:rsid w:val="007F2B38"/>
    <w:rsid w:val="007F3584"/>
    <w:rsid w:val="007F4BB2"/>
    <w:rsid w:val="008011F2"/>
    <w:rsid w:val="00801B98"/>
    <w:rsid w:val="00801F22"/>
    <w:rsid w:val="00805A34"/>
    <w:rsid w:val="00812931"/>
    <w:rsid w:val="00813383"/>
    <w:rsid w:val="008134A9"/>
    <w:rsid w:val="00813E25"/>
    <w:rsid w:val="00814BAF"/>
    <w:rsid w:val="008204DC"/>
    <w:rsid w:val="0082193C"/>
    <w:rsid w:val="008251FB"/>
    <w:rsid w:val="00827708"/>
    <w:rsid w:val="008302F6"/>
    <w:rsid w:val="008309C5"/>
    <w:rsid w:val="0083302C"/>
    <w:rsid w:val="00834930"/>
    <w:rsid w:val="00842CE7"/>
    <w:rsid w:val="00842FC0"/>
    <w:rsid w:val="0084429A"/>
    <w:rsid w:val="00844DA1"/>
    <w:rsid w:val="00847098"/>
    <w:rsid w:val="00847A55"/>
    <w:rsid w:val="008502B4"/>
    <w:rsid w:val="008554DF"/>
    <w:rsid w:val="00857272"/>
    <w:rsid w:val="008617D9"/>
    <w:rsid w:val="00862B11"/>
    <w:rsid w:val="008649D5"/>
    <w:rsid w:val="00864C24"/>
    <w:rsid w:val="008659B0"/>
    <w:rsid w:val="008664D0"/>
    <w:rsid w:val="00873ADD"/>
    <w:rsid w:val="008746DB"/>
    <w:rsid w:val="00874C6E"/>
    <w:rsid w:val="00876E79"/>
    <w:rsid w:val="00876EEB"/>
    <w:rsid w:val="008774DA"/>
    <w:rsid w:val="00877723"/>
    <w:rsid w:val="00884ACE"/>
    <w:rsid w:val="00884AD8"/>
    <w:rsid w:val="00886F56"/>
    <w:rsid w:val="00887F9C"/>
    <w:rsid w:val="00891F5B"/>
    <w:rsid w:val="00892C2A"/>
    <w:rsid w:val="008968FF"/>
    <w:rsid w:val="008A0188"/>
    <w:rsid w:val="008A32AC"/>
    <w:rsid w:val="008A4B74"/>
    <w:rsid w:val="008A586D"/>
    <w:rsid w:val="008A5B90"/>
    <w:rsid w:val="008A6B76"/>
    <w:rsid w:val="008B5C29"/>
    <w:rsid w:val="008C069C"/>
    <w:rsid w:val="008C3DED"/>
    <w:rsid w:val="008C48AE"/>
    <w:rsid w:val="008C4902"/>
    <w:rsid w:val="008C4C29"/>
    <w:rsid w:val="008D0261"/>
    <w:rsid w:val="008D1AFA"/>
    <w:rsid w:val="008D302C"/>
    <w:rsid w:val="008D491E"/>
    <w:rsid w:val="008D5C96"/>
    <w:rsid w:val="008E6331"/>
    <w:rsid w:val="008F3EE7"/>
    <w:rsid w:val="008F4147"/>
    <w:rsid w:val="0090213B"/>
    <w:rsid w:val="009032D4"/>
    <w:rsid w:val="00905AC6"/>
    <w:rsid w:val="0090791D"/>
    <w:rsid w:val="00910AFB"/>
    <w:rsid w:val="00911D79"/>
    <w:rsid w:val="00912132"/>
    <w:rsid w:val="00913C7A"/>
    <w:rsid w:val="00915528"/>
    <w:rsid w:val="0091765E"/>
    <w:rsid w:val="00924F19"/>
    <w:rsid w:val="009265FB"/>
    <w:rsid w:val="00927E8F"/>
    <w:rsid w:val="0093198C"/>
    <w:rsid w:val="0093324A"/>
    <w:rsid w:val="00935FBA"/>
    <w:rsid w:val="0094008F"/>
    <w:rsid w:val="00940E4B"/>
    <w:rsid w:val="00945650"/>
    <w:rsid w:val="00951366"/>
    <w:rsid w:val="00951B34"/>
    <w:rsid w:val="00954252"/>
    <w:rsid w:val="00956526"/>
    <w:rsid w:val="00956C80"/>
    <w:rsid w:val="00956DA4"/>
    <w:rsid w:val="009605E7"/>
    <w:rsid w:val="009610C2"/>
    <w:rsid w:val="00965C23"/>
    <w:rsid w:val="009708E3"/>
    <w:rsid w:val="0097342D"/>
    <w:rsid w:val="00976695"/>
    <w:rsid w:val="00976D42"/>
    <w:rsid w:val="00977011"/>
    <w:rsid w:val="009838B3"/>
    <w:rsid w:val="00983D9E"/>
    <w:rsid w:val="0098420F"/>
    <w:rsid w:val="0098509B"/>
    <w:rsid w:val="00987F8E"/>
    <w:rsid w:val="009903BB"/>
    <w:rsid w:val="009908F9"/>
    <w:rsid w:val="0099467E"/>
    <w:rsid w:val="009948AE"/>
    <w:rsid w:val="00994999"/>
    <w:rsid w:val="00995024"/>
    <w:rsid w:val="009954E2"/>
    <w:rsid w:val="009A00B9"/>
    <w:rsid w:val="009A53E1"/>
    <w:rsid w:val="009A6964"/>
    <w:rsid w:val="009B5D6B"/>
    <w:rsid w:val="009B612C"/>
    <w:rsid w:val="009B66D7"/>
    <w:rsid w:val="009C0548"/>
    <w:rsid w:val="009C0EA8"/>
    <w:rsid w:val="009C3279"/>
    <w:rsid w:val="009C3870"/>
    <w:rsid w:val="009C40C7"/>
    <w:rsid w:val="009D1955"/>
    <w:rsid w:val="009D36D1"/>
    <w:rsid w:val="009E10B4"/>
    <w:rsid w:val="009E299B"/>
    <w:rsid w:val="009E3CED"/>
    <w:rsid w:val="009E5459"/>
    <w:rsid w:val="009E5F71"/>
    <w:rsid w:val="009E7A59"/>
    <w:rsid w:val="009F0C67"/>
    <w:rsid w:val="009F4A32"/>
    <w:rsid w:val="009F5376"/>
    <w:rsid w:val="009F71BB"/>
    <w:rsid w:val="009F74ED"/>
    <w:rsid w:val="00A026E1"/>
    <w:rsid w:val="00A0315D"/>
    <w:rsid w:val="00A06527"/>
    <w:rsid w:val="00A07946"/>
    <w:rsid w:val="00A107B6"/>
    <w:rsid w:val="00A12719"/>
    <w:rsid w:val="00A12ABA"/>
    <w:rsid w:val="00A13236"/>
    <w:rsid w:val="00A13EB3"/>
    <w:rsid w:val="00A14D83"/>
    <w:rsid w:val="00A154B6"/>
    <w:rsid w:val="00A15E0C"/>
    <w:rsid w:val="00A2288D"/>
    <w:rsid w:val="00A24D5E"/>
    <w:rsid w:val="00A33DC2"/>
    <w:rsid w:val="00A360B7"/>
    <w:rsid w:val="00A36F65"/>
    <w:rsid w:val="00A379FC"/>
    <w:rsid w:val="00A40219"/>
    <w:rsid w:val="00A4472F"/>
    <w:rsid w:val="00A45140"/>
    <w:rsid w:val="00A525C1"/>
    <w:rsid w:val="00A5316E"/>
    <w:rsid w:val="00A57F1D"/>
    <w:rsid w:val="00A630CD"/>
    <w:rsid w:val="00A6453A"/>
    <w:rsid w:val="00A646CE"/>
    <w:rsid w:val="00A65DA2"/>
    <w:rsid w:val="00A65DFE"/>
    <w:rsid w:val="00A703F6"/>
    <w:rsid w:val="00A71DC4"/>
    <w:rsid w:val="00A72E4A"/>
    <w:rsid w:val="00A74EA5"/>
    <w:rsid w:val="00A750A6"/>
    <w:rsid w:val="00A75E7E"/>
    <w:rsid w:val="00A80D69"/>
    <w:rsid w:val="00A80D8F"/>
    <w:rsid w:val="00A81D3E"/>
    <w:rsid w:val="00A82018"/>
    <w:rsid w:val="00A83154"/>
    <w:rsid w:val="00A83B8D"/>
    <w:rsid w:val="00A84FC4"/>
    <w:rsid w:val="00A8504F"/>
    <w:rsid w:val="00A90C68"/>
    <w:rsid w:val="00A92538"/>
    <w:rsid w:val="00A92C93"/>
    <w:rsid w:val="00A93424"/>
    <w:rsid w:val="00A93973"/>
    <w:rsid w:val="00AA06AF"/>
    <w:rsid w:val="00AA212A"/>
    <w:rsid w:val="00AA287E"/>
    <w:rsid w:val="00AA2FD8"/>
    <w:rsid w:val="00AA625E"/>
    <w:rsid w:val="00AA6BF3"/>
    <w:rsid w:val="00AA7F84"/>
    <w:rsid w:val="00AB0486"/>
    <w:rsid w:val="00AB107F"/>
    <w:rsid w:val="00AB15BC"/>
    <w:rsid w:val="00AB2972"/>
    <w:rsid w:val="00AB30A4"/>
    <w:rsid w:val="00AB31E0"/>
    <w:rsid w:val="00AB4D50"/>
    <w:rsid w:val="00AB5B55"/>
    <w:rsid w:val="00AC34AD"/>
    <w:rsid w:val="00AC6532"/>
    <w:rsid w:val="00AD4C3F"/>
    <w:rsid w:val="00AD565C"/>
    <w:rsid w:val="00AE0F55"/>
    <w:rsid w:val="00AE11BA"/>
    <w:rsid w:val="00AE1384"/>
    <w:rsid w:val="00AE33DC"/>
    <w:rsid w:val="00AE4C1D"/>
    <w:rsid w:val="00AE6D54"/>
    <w:rsid w:val="00AF04CD"/>
    <w:rsid w:val="00AF414D"/>
    <w:rsid w:val="00AF6DA9"/>
    <w:rsid w:val="00AF711B"/>
    <w:rsid w:val="00AF7B38"/>
    <w:rsid w:val="00B00223"/>
    <w:rsid w:val="00B01B5B"/>
    <w:rsid w:val="00B02AF3"/>
    <w:rsid w:val="00B106EF"/>
    <w:rsid w:val="00B1079B"/>
    <w:rsid w:val="00B14660"/>
    <w:rsid w:val="00B14A2D"/>
    <w:rsid w:val="00B1555E"/>
    <w:rsid w:val="00B159D3"/>
    <w:rsid w:val="00B208E3"/>
    <w:rsid w:val="00B21599"/>
    <w:rsid w:val="00B21DCF"/>
    <w:rsid w:val="00B25394"/>
    <w:rsid w:val="00B30911"/>
    <w:rsid w:val="00B30DDA"/>
    <w:rsid w:val="00B35757"/>
    <w:rsid w:val="00B35A8F"/>
    <w:rsid w:val="00B4219D"/>
    <w:rsid w:val="00B422EC"/>
    <w:rsid w:val="00B45B13"/>
    <w:rsid w:val="00B51562"/>
    <w:rsid w:val="00B523A8"/>
    <w:rsid w:val="00B54B79"/>
    <w:rsid w:val="00B569B4"/>
    <w:rsid w:val="00B57DA8"/>
    <w:rsid w:val="00B6139C"/>
    <w:rsid w:val="00B631C7"/>
    <w:rsid w:val="00B64857"/>
    <w:rsid w:val="00B65728"/>
    <w:rsid w:val="00B671F7"/>
    <w:rsid w:val="00B6799C"/>
    <w:rsid w:val="00B70209"/>
    <w:rsid w:val="00B708A3"/>
    <w:rsid w:val="00B7237F"/>
    <w:rsid w:val="00B72BF3"/>
    <w:rsid w:val="00B7606C"/>
    <w:rsid w:val="00B76EF8"/>
    <w:rsid w:val="00B81403"/>
    <w:rsid w:val="00B81C63"/>
    <w:rsid w:val="00B826BC"/>
    <w:rsid w:val="00B85700"/>
    <w:rsid w:val="00B8574F"/>
    <w:rsid w:val="00B9291B"/>
    <w:rsid w:val="00B95445"/>
    <w:rsid w:val="00BA15AF"/>
    <w:rsid w:val="00BA1C31"/>
    <w:rsid w:val="00BA3833"/>
    <w:rsid w:val="00BB2925"/>
    <w:rsid w:val="00BB52F1"/>
    <w:rsid w:val="00BB54F5"/>
    <w:rsid w:val="00BB5C9B"/>
    <w:rsid w:val="00BC1065"/>
    <w:rsid w:val="00BC2756"/>
    <w:rsid w:val="00BC2D3A"/>
    <w:rsid w:val="00BC3E11"/>
    <w:rsid w:val="00BC4090"/>
    <w:rsid w:val="00BC4EF3"/>
    <w:rsid w:val="00BD4FB6"/>
    <w:rsid w:val="00BD5C27"/>
    <w:rsid w:val="00BE4969"/>
    <w:rsid w:val="00BF295F"/>
    <w:rsid w:val="00BF5272"/>
    <w:rsid w:val="00C0187E"/>
    <w:rsid w:val="00C02C42"/>
    <w:rsid w:val="00C110A6"/>
    <w:rsid w:val="00C11CC7"/>
    <w:rsid w:val="00C1205F"/>
    <w:rsid w:val="00C137B1"/>
    <w:rsid w:val="00C13817"/>
    <w:rsid w:val="00C15BD6"/>
    <w:rsid w:val="00C1778A"/>
    <w:rsid w:val="00C208DC"/>
    <w:rsid w:val="00C2714C"/>
    <w:rsid w:val="00C2727A"/>
    <w:rsid w:val="00C3064F"/>
    <w:rsid w:val="00C316E4"/>
    <w:rsid w:val="00C31C30"/>
    <w:rsid w:val="00C32782"/>
    <w:rsid w:val="00C32AA9"/>
    <w:rsid w:val="00C346DB"/>
    <w:rsid w:val="00C35214"/>
    <w:rsid w:val="00C353B6"/>
    <w:rsid w:val="00C35623"/>
    <w:rsid w:val="00C364D1"/>
    <w:rsid w:val="00C3758A"/>
    <w:rsid w:val="00C40737"/>
    <w:rsid w:val="00C4127A"/>
    <w:rsid w:val="00C41539"/>
    <w:rsid w:val="00C42BB1"/>
    <w:rsid w:val="00C4377A"/>
    <w:rsid w:val="00C445B5"/>
    <w:rsid w:val="00C51493"/>
    <w:rsid w:val="00C53877"/>
    <w:rsid w:val="00C53913"/>
    <w:rsid w:val="00C54960"/>
    <w:rsid w:val="00C556B2"/>
    <w:rsid w:val="00C57564"/>
    <w:rsid w:val="00C60248"/>
    <w:rsid w:val="00C60731"/>
    <w:rsid w:val="00C6118E"/>
    <w:rsid w:val="00C63677"/>
    <w:rsid w:val="00C6565E"/>
    <w:rsid w:val="00C66D4F"/>
    <w:rsid w:val="00C711C0"/>
    <w:rsid w:val="00C74F70"/>
    <w:rsid w:val="00C84D5E"/>
    <w:rsid w:val="00C861BE"/>
    <w:rsid w:val="00C93D89"/>
    <w:rsid w:val="00C94DE0"/>
    <w:rsid w:val="00C961F1"/>
    <w:rsid w:val="00CA1F4E"/>
    <w:rsid w:val="00CA4FA2"/>
    <w:rsid w:val="00CA6397"/>
    <w:rsid w:val="00CB2244"/>
    <w:rsid w:val="00CB2A1A"/>
    <w:rsid w:val="00CB336A"/>
    <w:rsid w:val="00CB599A"/>
    <w:rsid w:val="00CB78CB"/>
    <w:rsid w:val="00CB793A"/>
    <w:rsid w:val="00CC2D6B"/>
    <w:rsid w:val="00CC35F5"/>
    <w:rsid w:val="00CC51F4"/>
    <w:rsid w:val="00CC7804"/>
    <w:rsid w:val="00CC7B1D"/>
    <w:rsid w:val="00CD0C43"/>
    <w:rsid w:val="00CD0DC7"/>
    <w:rsid w:val="00CD183A"/>
    <w:rsid w:val="00CD465C"/>
    <w:rsid w:val="00CD47CC"/>
    <w:rsid w:val="00CD541B"/>
    <w:rsid w:val="00CD7A0C"/>
    <w:rsid w:val="00CD7F3F"/>
    <w:rsid w:val="00CE0FAC"/>
    <w:rsid w:val="00CE10BC"/>
    <w:rsid w:val="00CE3BE9"/>
    <w:rsid w:val="00CE6BC2"/>
    <w:rsid w:val="00CF46EA"/>
    <w:rsid w:val="00CF62CC"/>
    <w:rsid w:val="00CF710D"/>
    <w:rsid w:val="00D00E6E"/>
    <w:rsid w:val="00D02256"/>
    <w:rsid w:val="00D10336"/>
    <w:rsid w:val="00D106C8"/>
    <w:rsid w:val="00D1143F"/>
    <w:rsid w:val="00D12D88"/>
    <w:rsid w:val="00D12E47"/>
    <w:rsid w:val="00D13EC7"/>
    <w:rsid w:val="00D151F4"/>
    <w:rsid w:val="00D174C5"/>
    <w:rsid w:val="00D2006B"/>
    <w:rsid w:val="00D21550"/>
    <w:rsid w:val="00D23AFB"/>
    <w:rsid w:val="00D23CBD"/>
    <w:rsid w:val="00D24521"/>
    <w:rsid w:val="00D31E1F"/>
    <w:rsid w:val="00D40EF6"/>
    <w:rsid w:val="00D41352"/>
    <w:rsid w:val="00D44D39"/>
    <w:rsid w:val="00D45820"/>
    <w:rsid w:val="00D45A8D"/>
    <w:rsid w:val="00D50EEC"/>
    <w:rsid w:val="00D51535"/>
    <w:rsid w:val="00D60EC7"/>
    <w:rsid w:val="00D62A04"/>
    <w:rsid w:val="00D62BC0"/>
    <w:rsid w:val="00D64D98"/>
    <w:rsid w:val="00D66F0B"/>
    <w:rsid w:val="00D747CF"/>
    <w:rsid w:val="00D76B35"/>
    <w:rsid w:val="00D80BDB"/>
    <w:rsid w:val="00D82799"/>
    <w:rsid w:val="00D82884"/>
    <w:rsid w:val="00D8380B"/>
    <w:rsid w:val="00D91AF8"/>
    <w:rsid w:val="00D936A0"/>
    <w:rsid w:val="00D93D54"/>
    <w:rsid w:val="00D974F0"/>
    <w:rsid w:val="00DA39E0"/>
    <w:rsid w:val="00DA4DF2"/>
    <w:rsid w:val="00DA5C53"/>
    <w:rsid w:val="00DB025A"/>
    <w:rsid w:val="00DB78DD"/>
    <w:rsid w:val="00DC0B59"/>
    <w:rsid w:val="00DC55CD"/>
    <w:rsid w:val="00DD4FC4"/>
    <w:rsid w:val="00DD6B5C"/>
    <w:rsid w:val="00DD6DBD"/>
    <w:rsid w:val="00DD6DBF"/>
    <w:rsid w:val="00DE37C7"/>
    <w:rsid w:val="00DE584F"/>
    <w:rsid w:val="00DE5CB4"/>
    <w:rsid w:val="00DE5F73"/>
    <w:rsid w:val="00DE65F0"/>
    <w:rsid w:val="00DE7F68"/>
    <w:rsid w:val="00DF001A"/>
    <w:rsid w:val="00DF18ED"/>
    <w:rsid w:val="00DF234A"/>
    <w:rsid w:val="00DF4F4C"/>
    <w:rsid w:val="00DF517F"/>
    <w:rsid w:val="00DF5D57"/>
    <w:rsid w:val="00DF5FDA"/>
    <w:rsid w:val="00DF6287"/>
    <w:rsid w:val="00DF7EAC"/>
    <w:rsid w:val="00E014AE"/>
    <w:rsid w:val="00E02504"/>
    <w:rsid w:val="00E0291B"/>
    <w:rsid w:val="00E03245"/>
    <w:rsid w:val="00E0451A"/>
    <w:rsid w:val="00E05D79"/>
    <w:rsid w:val="00E101F0"/>
    <w:rsid w:val="00E120A8"/>
    <w:rsid w:val="00E1658A"/>
    <w:rsid w:val="00E16734"/>
    <w:rsid w:val="00E20EA4"/>
    <w:rsid w:val="00E24C4D"/>
    <w:rsid w:val="00E2560C"/>
    <w:rsid w:val="00E25813"/>
    <w:rsid w:val="00E2655E"/>
    <w:rsid w:val="00E26685"/>
    <w:rsid w:val="00E26AF1"/>
    <w:rsid w:val="00E32840"/>
    <w:rsid w:val="00E32E2C"/>
    <w:rsid w:val="00E41509"/>
    <w:rsid w:val="00E41580"/>
    <w:rsid w:val="00E433E5"/>
    <w:rsid w:val="00E453D7"/>
    <w:rsid w:val="00E4601F"/>
    <w:rsid w:val="00E4620E"/>
    <w:rsid w:val="00E46FF6"/>
    <w:rsid w:val="00E52FF4"/>
    <w:rsid w:val="00E53EF7"/>
    <w:rsid w:val="00E544C8"/>
    <w:rsid w:val="00E6088F"/>
    <w:rsid w:val="00E6373C"/>
    <w:rsid w:val="00E6490E"/>
    <w:rsid w:val="00E669F0"/>
    <w:rsid w:val="00E6714B"/>
    <w:rsid w:val="00E70563"/>
    <w:rsid w:val="00E7373B"/>
    <w:rsid w:val="00E74690"/>
    <w:rsid w:val="00E7593C"/>
    <w:rsid w:val="00E75C4B"/>
    <w:rsid w:val="00E7712B"/>
    <w:rsid w:val="00E80CE7"/>
    <w:rsid w:val="00E82544"/>
    <w:rsid w:val="00E830DB"/>
    <w:rsid w:val="00E84498"/>
    <w:rsid w:val="00E84AC6"/>
    <w:rsid w:val="00E856D3"/>
    <w:rsid w:val="00E86E67"/>
    <w:rsid w:val="00E87865"/>
    <w:rsid w:val="00E87B1A"/>
    <w:rsid w:val="00E87F96"/>
    <w:rsid w:val="00E90569"/>
    <w:rsid w:val="00E90D71"/>
    <w:rsid w:val="00E9107A"/>
    <w:rsid w:val="00E9130E"/>
    <w:rsid w:val="00E92E75"/>
    <w:rsid w:val="00E96654"/>
    <w:rsid w:val="00EA6F17"/>
    <w:rsid w:val="00EB0C97"/>
    <w:rsid w:val="00EB4222"/>
    <w:rsid w:val="00EB66FB"/>
    <w:rsid w:val="00EB7D39"/>
    <w:rsid w:val="00EB7F2D"/>
    <w:rsid w:val="00EC120E"/>
    <w:rsid w:val="00EC22FC"/>
    <w:rsid w:val="00EC26C1"/>
    <w:rsid w:val="00EC5F4F"/>
    <w:rsid w:val="00EC7D42"/>
    <w:rsid w:val="00ED0039"/>
    <w:rsid w:val="00ED36B4"/>
    <w:rsid w:val="00ED73B9"/>
    <w:rsid w:val="00ED7503"/>
    <w:rsid w:val="00EE6E94"/>
    <w:rsid w:val="00EE70ED"/>
    <w:rsid w:val="00EF0B31"/>
    <w:rsid w:val="00EF0EFC"/>
    <w:rsid w:val="00EF47C9"/>
    <w:rsid w:val="00EF4D76"/>
    <w:rsid w:val="00EF546F"/>
    <w:rsid w:val="00F0390A"/>
    <w:rsid w:val="00F05E05"/>
    <w:rsid w:val="00F06000"/>
    <w:rsid w:val="00F10F89"/>
    <w:rsid w:val="00F17F64"/>
    <w:rsid w:val="00F20041"/>
    <w:rsid w:val="00F22480"/>
    <w:rsid w:val="00F225A0"/>
    <w:rsid w:val="00F244B1"/>
    <w:rsid w:val="00F25066"/>
    <w:rsid w:val="00F25793"/>
    <w:rsid w:val="00F27ACE"/>
    <w:rsid w:val="00F303FA"/>
    <w:rsid w:val="00F34172"/>
    <w:rsid w:val="00F353D7"/>
    <w:rsid w:val="00F40305"/>
    <w:rsid w:val="00F43989"/>
    <w:rsid w:val="00F43A99"/>
    <w:rsid w:val="00F43C5B"/>
    <w:rsid w:val="00F44279"/>
    <w:rsid w:val="00F44BDC"/>
    <w:rsid w:val="00F5010F"/>
    <w:rsid w:val="00F50324"/>
    <w:rsid w:val="00F5069B"/>
    <w:rsid w:val="00F542A2"/>
    <w:rsid w:val="00F55DCE"/>
    <w:rsid w:val="00F621DA"/>
    <w:rsid w:val="00F73950"/>
    <w:rsid w:val="00F7420D"/>
    <w:rsid w:val="00F75342"/>
    <w:rsid w:val="00F76D9E"/>
    <w:rsid w:val="00F82EDA"/>
    <w:rsid w:val="00F83EB0"/>
    <w:rsid w:val="00F85D57"/>
    <w:rsid w:val="00F8797C"/>
    <w:rsid w:val="00F94EB8"/>
    <w:rsid w:val="00FA01AF"/>
    <w:rsid w:val="00FA09CD"/>
    <w:rsid w:val="00FA231C"/>
    <w:rsid w:val="00FA4970"/>
    <w:rsid w:val="00FA5A74"/>
    <w:rsid w:val="00FA6E86"/>
    <w:rsid w:val="00FB0679"/>
    <w:rsid w:val="00FB70EE"/>
    <w:rsid w:val="00FB741D"/>
    <w:rsid w:val="00FB7B3C"/>
    <w:rsid w:val="00FC2F10"/>
    <w:rsid w:val="00FC359E"/>
    <w:rsid w:val="00FC5643"/>
    <w:rsid w:val="00FC661C"/>
    <w:rsid w:val="00FC68FD"/>
    <w:rsid w:val="00FC7910"/>
    <w:rsid w:val="00FC7CAA"/>
    <w:rsid w:val="00FC7E8F"/>
    <w:rsid w:val="00FD279A"/>
    <w:rsid w:val="00FD3452"/>
    <w:rsid w:val="00FD43BF"/>
    <w:rsid w:val="00FD58A8"/>
    <w:rsid w:val="00FE38A9"/>
    <w:rsid w:val="00FF0393"/>
    <w:rsid w:val="00FF0BCB"/>
    <w:rsid w:val="00FF1D2D"/>
    <w:rsid w:val="00FF27F9"/>
    <w:rsid w:val="00FF533E"/>
    <w:rsid w:val="00FF5A1F"/>
    <w:rsid w:val="2DCAD67E"/>
    <w:rsid w:val="3BDDBB04"/>
    <w:rsid w:val="3C4F5CD4"/>
    <w:rsid w:val="3C835237"/>
    <w:rsid w:val="3E3767B6"/>
    <w:rsid w:val="4EEF7842"/>
    <w:rsid w:val="5B7A1E50"/>
    <w:rsid w:val="5DFF4BC9"/>
    <w:rsid w:val="6B7ACFD6"/>
    <w:rsid w:val="6EBC7F4A"/>
    <w:rsid w:val="756FF33D"/>
    <w:rsid w:val="75ECB751"/>
    <w:rsid w:val="79FF4177"/>
    <w:rsid w:val="7DFF53F6"/>
    <w:rsid w:val="7F7F476C"/>
    <w:rsid w:val="9BBEF764"/>
    <w:rsid w:val="A8FFE1C4"/>
    <w:rsid w:val="BBFF3D79"/>
    <w:rsid w:val="BBFF4F3A"/>
    <w:rsid w:val="BFD926E1"/>
    <w:rsid w:val="E7B36F94"/>
    <w:rsid w:val="EFF7B3D7"/>
    <w:rsid w:val="FAB391EF"/>
    <w:rsid w:val="FEEFEC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jc w:val="both"/>
    </w:pPr>
    <w:rPr>
      <w:rFonts w:ascii="Times New Roman" w:hAnsi="Times New Roman" w:eastAsia="宋体" w:cstheme="minorBidi"/>
      <w:kern w:val="2"/>
      <w:sz w:val="28"/>
      <w:szCs w:val="22"/>
      <w:lang w:val="en-US" w:eastAsia="zh-CN" w:bidi="ar-SA"/>
    </w:rPr>
  </w:style>
  <w:style w:type="paragraph" w:styleId="2">
    <w:name w:val="heading 1"/>
    <w:basedOn w:val="1"/>
    <w:next w:val="1"/>
    <w:link w:val="21"/>
    <w:qFormat/>
    <w:uiPriority w:val="9"/>
    <w:pPr>
      <w:keepNext/>
      <w:autoSpaceDE w:val="0"/>
      <w:autoSpaceDN w:val="0"/>
      <w:spacing w:before="50" w:beforeLines="50" w:after="50" w:afterLines="50"/>
      <w:ind w:firstLine="200" w:firstLineChars="200"/>
      <w:outlineLvl w:val="0"/>
    </w:pPr>
    <w:rPr>
      <w:rFonts w:eastAsia="黑体" w:asciiTheme="minorHAnsi" w:hAnsiTheme="minorHAnsi" w:cstheme="minorHAnsi"/>
      <w:sz w:val="32"/>
      <w:szCs w:val="32"/>
    </w:rPr>
  </w:style>
  <w:style w:type="paragraph" w:styleId="3">
    <w:name w:val="heading 2"/>
    <w:basedOn w:val="1"/>
    <w:next w:val="1"/>
    <w:link w:val="22"/>
    <w:unhideWhenUsed/>
    <w:qFormat/>
    <w:uiPriority w:val="9"/>
    <w:pPr>
      <w:keepNext/>
      <w:widowControl/>
      <w:autoSpaceDE w:val="0"/>
      <w:autoSpaceDN w:val="0"/>
      <w:spacing w:before="156" w:beforeLines="50" w:after="156" w:afterLines="50" w:line="500" w:lineRule="exact"/>
      <w:ind w:firstLine="643" w:firstLineChars="200"/>
      <w:jc w:val="left"/>
      <w:outlineLvl w:val="1"/>
    </w:pPr>
    <w:rPr>
      <w:rFonts w:eastAsia="楷体" w:cs="Times New Roman" w:asciiTheme="minorHAnsi" w:hAnsiTheme="minorHAnsi"/>
      <w:b/>
      <w:sz w:val="32"/>
      <w:szCs w:val="40"/>
    </w:rPr>
  </w:style>
  <w:style w:type="paragraph" w:styleId="4">
    <w:name w:val="heading 3"/>
    <w:basedOn w:val="3"/>
    <w:next w:val="1"/>
    <w:link w:val="23"/>
    <w:unhideWhenUsed/>
    <w:qFormat/>
    <w:uiPriority w:val="9"/>
    <w:pPr>
      <w:spacing w:before="0" w:beforeLines="0" w:after="0" w:afterLines="0" w:line="560" w:lineRule="exact"/>
      <w:ind w:firstLine="562"/>
      <w:outlineLvl w:val="2"/>
    </w:pPr>
    <w:rPr>
      <w:rFonts w:eastAsia="宋体"/>
      <w:bCs/>
      <w:sz w:val="28"/>
      <w:szCs w:val="32"/>
    </w:rPr>
  </w:style>
  <w:style w:type="paragraph" w:styleId="5">
    <w:name w:val="heading 4"/>
    <w:basedOn w:val="3"/>
    <w:next w:val="1"/>
    <w:link w:val="33"/>
    <w:unhideWhenUsed/>
    <w:qFormat/>
    <w:uiPriority w:val="9"/>
    <w:pPr>
      <w:spacing w:before="204" w:after="204"/>
      <w:outlineLvl w:val="3"/>
    </w:pPr>
    <w:rPr>
      <w:rFonts w:cstheme="minorHAnsi"/>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Layout w:type="fixed"/>
      <w:tblCellMar>
        <w:top w:w="0" w:type="dxa"/>
        <w:left w:w="108" w:type="dxa"/>
        <w:bottom w:w="0" w:type="dxa"/>
        <w:right w:w="108" w:type="dxa"/>
      </w:tblCellMar>
    </w:tblPr>
  </w:style>
  <w:style w:type="paragraph" w:styleId="6">
    <w:name w:val="annotation text"/>
    <w:basedOn w:val="1"/>
    <w:link w:val="25"/>
    <w:semiHidden/>
    <w:unhideWhenUsed/>
    <w:qFormat/>
    <w:uiPriority w:val="99"/>
    <w:pPr>
      <w:jc w:val="left"/>
    </w:pPr>
  </w:style>
  <w:style w:type="paragraph" w:styleId="7">
    <w:name w:val="Date"/>
    <w:basedOn w:val="1"/>
    <w:next w:val="1"/>
    <w:link w:val="46"/>
    <w:semiHidden/>
    <w:unhideWhenUsed/>
    <w:qFormat/>
    <w:uiPriority w:val="99"/>
    <w:pPr>
      <w:ind w:left="100" w:leftChars="2500"/>
    </w:pPr>
  </w:style>
  <w:style w:type="paragraph" w:styleId="8">
    <w:name w:val="footer"/>
    <w:basedOn w:val="1"/>
    <w:link w:val="31"/>
    <w:unhideWhenUsed/>
    <w:qFormat/>
    <w:uiPriority w:val="99"/>
    <w:pPr>
      <w:tabs>
        <w:tab w:val="center" w:pos="4153"/>
        <w:tab w:val="right" w:pos="8306"/>
      </w:tabs>
      <w:snapToGrid w:val="0"/>
      <w:spacing w:line="240" w:lineRule="auto"/>
      <w:jc w:val="left"/>
    </w:pPr>
    <w:rPr>
      <w:sz w:val="18"/>
      <w:szCs w:val="18"/>
    </w:rPr>
  </w:style>
  <w:style w:type="paragraph" w:styleId="9">
    <w:name w:val="header"/>
    <w:basedOn w:val="1"/>
    <w:link w:val="30"/>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0">
    <w:name w:val="toc 1"/>
    <w:basedOn w:val="1"/>
    <w:next w:val="1"/>
    <w:unhideWhenUsed/>
    <w:qFormat/>
    <w:uiPriority w:val="39"/>
    <w:pPr>
      <w:tabs>
        <w:tab w:val="right" w:leader="dot" w:pos="8296"/>
      </w:tabs>
    </w:pPr>
    <w:rPr>
      <w:rFonts w:eastAsia="黑体"/>
      <w:sz w:val="30"/>
    </w:rPr>
  </w:style>
  <w:style w:type="paragraph" w:styleId="11">
    <w:name w:val="toc 2"/>
    <w:basedOn w:val="1"/>
    <w:next w:val="1"/>
    <w:unhideWhenUsed/>
    <w:qFormat/>
    <w:uiPriority w:val="39"/>
    <w:pPr>
      <w:tabs>
        <w:tab w:val="right" w:leader="dot" w:pos="8296"/>
      </w:tabs>
      <w:ind w:left="560" w:leftChars="200"/>
    </w:pPr>
    <w:rPr>
      <w:rFonts w:eastAsia="楷体"/>
    </w:rPr>
  </w:style>
  <w:style w:type="paragraph" w:styleId="12">
    <w:name w:val="Normal (Web)"/>
    <w:basedOn w:val="1"/>
    <w:semiHidden/>
    <w:unhideWhenUsed/>
    <w:qFormat/>
    <w:uiPriority w:val="99"/>
    <w:pPr>
      <w:spacing w:beforeAutospacing="1" w:afterAutospacing="1"/>
      <w:jc w:val="left"/>
    </w:pPr>
    <w:rPr>
      <w:rFonts w:cs="Times New Roman"/>
      <w:kern w:val="0"/>
      <w:sz w:val="24"/>
    </w:rPr>
  </w:style>
  <w:style w:type="paragraph" w:styleId="13">
    <w:name w:val="Title"/>
    <w:basedOn w:val="1"/>
    <w:next w:val="1"/>
    <w:link w:val="24"/>
    <w:qFormat/>
    <w:uiPriority w:val="10"/>
    <w:pPr>
      <w:spacing w:after="312" w:afterLines="100"/>
      <w:jc w:val="center"/>
    </w:pPr>
    <w:rPr>
      <w:rFonts w:eastAsia="黑体" w:asciiTheme="minorHAnsi" w:hAnsiTheme="minorHAnsi" w:cstheme="minorHAnsi"/>
      <w:sz w:val="44"/>
      <w:szCs w:val="36"/>
    </w:rPr>
  </w:style>
  <w:style w:type="paragraph" w:styleId="14">
    <w:name w:val="annotation subject"/>
    <w:basedOn w:val="6"/>
    <w:next w:val="6"/>
    <w:link w:val="26"/>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8">
    <w:name w:val="Emphasis"/>
    <w:qFormat/>
    <w:uiPriority w:val="20"/>
    <w:rPr>
      <w:rFonts w:asciiTheme="minorHAnsi" w:hAnsiTheme="minorHAnsi" w:cstheme="minorHAnsi"/>
      <w:sz w:val="21"/>
      <w:szCs w:val="30"/>
    </w:rPr>
  </w:style>
  <w:style w:type="character" w:styleId="19">
    <w:name w:val="Hyperlink"/>
    <w:basedOn w:val="17"/>
    <w:unhideWhenUsed/>
    <w:qFormat/>
    <w:uiPriority w:val="99"/>
    <w:rPr>
      <w:color w:val="0563C1" w:themeColor="hyperlink"/>
      <w:u w:val="single"/>
      <w14:textFill>
        <w14:solidFill>
          <w14:schemeClr w14:val="hlink"/>
        </w14:solidFill>
      </w14:textFill>
    </w:rPr>
  </w:style>
  <w:style w:type="character" w:styleId="20">
    <w:name w:val="annotation reference"/>
    <w:basedOn w:val="17"/>
    <w:semiHidden/>
    <w:unhideWhenUsed/>
    <w:qFormat/>
    <w:uiPriority w:val="99"/>
    <w:rPr>
      <w:sz w:val="21"/>
      <w:szCs w:val="21"/>
    </w:rPr>
  </w:style>
  <w:style w:type="character" w:customStyle="1" w:styleId="21">
    <w:name w:val="标题 1 字符"/>
    <w:basedOn w:val="17"/>
    <w:link w:val="2"/>
    <w:qFormat/>
    <w:uiPriority w:val="9"/>
    <w:rPr>
      <w:rFonts w:eastAsia="黑体" w:cstheme="minorHAnsi"/>
      <w:sz w:val="32"/>
      <w:szCs w:val="32"/>
    </w:rPr>
  </w:style>
  <w:style w:type="character" w:customStyle="1" w:styleId="22">
    <w:name w:val="标题 2 字符"/>
    <w:basedOn w:val="17"/>
    <w:link w:val="3"/>
    <w:qFormat/>
    <w:uiPriority w:val="9"/>
    <w:rPr>
      <w:rFonts w:eastAsia="楷体" w:cs="Times New Roman"/>
      <w:b/>
      <w:sz w:val="32"/>
      <w:szCs w:val="40"/>
    </w:rPr>
  </w:style>
  <w:style w:type="character" w:customStyle="1" w:styleId="23">
    <w:name w:val="标题 3 字符"/>
    <w:basedOn w:val="17"/>
    <w:link w:val="4"/>
    <w:qFormat/>
    <w:uiPriority w:val="9"/>
    <w:rPr>
      <w:rFonts w:eastAsia="宋体" w:cs="Times New Roman"/>
      <w:b/>
      <w:bCs/>
      <w:sz w:val="28"/>
      <w:szCs w:val="32"/>
    </w:rPr>
  </w:style>
  <w:style w:type="character" w:customStyle="1" w:styleId="24">
    <w:name w:val="标题 字符"/>
    <w:basedOn w:val="17"/>
    <w:link w:val="13"/>
    <w:qFormat/>
    <w:uiPriority w:val="10"/>
    <w:rPr>
      <w:rFonts w:eastAsia="黑体" w:cstheme="minorHAnsi"/>
      <w:sz w:val="44"/>
      <w:szCs w:val="36"/>
    </w:rPr>
  </w:style>
  <w:style w:type="character" w:customStyle="1" w:styleId="25">
    <w:name w:val="批注文字 字符"/>
    <w:basedOn w:val="17"/>
    <w:link w:val="6"/>
    <w:semiHidden/>
    <w:qFormat/>
    <w:uiPriority w:val="99"/>
    <w:rPr>
      <w:rFonts w:ascii="Times New Roman" w:hAnsi="Times New Roman" w:eastAsia="宋体"/>
      <w:sz w:val="28"/>
    </w:rPr>
  </w:style>
  <w:style w:type="character" w:customStyle="1" w:styleId="26">
    <w:name w:val="批注主题 字符"/>
    <w:basedOn w:val="25"/>
    <w:link w:val="14"/>
    <w:semiHidden/>
    <w:qFormat/>
    <w:uiPriority w:val="99"/>
    <w:rPr>
      <w:rFonts w:ascii="Times New Roman" w:hAnsi="Times New Roman" w:eastAsia="宋体"/>
      <w:b/>
      <w:bCs/>
      <w:sz w:val="28"/>
    </w:rPr>
  </w:style>
  <w:style w:type="paragraph" w:customStyle="1" w:styleId="27">
    <w:name w:val="TOC 标题1"/>
    <w:basedOn w:val="2"/>
    <w:next w:val="1"/>
    <w:unhideWhenUsed/>
    <w:qFormat/>
    <w:uiPriority w:val="39"/>
    <w:pPr>
      <w:keepLines/>
      <w:widowControl/>
      <w:autoSpaceDE/>
      <w:autoSpaceDN/>
      <w:spacing w:after="0" w:afterLines="0" w:line="600" w:lineRule="exact"/>
      <w:ind w:firstLine="0" w:firstLineChars="0"/>
      <w:outlineLvl w:val="9"/>
    </w:pPr>
    <w:rPr>
      <w:rFonts w:asciiTheme="majorHAnsi" w:hAnsiTheme="majorHAnsi" w:cstheme="majorBidi"/>
      <w:b/>
      <w:kern w:val="0"/>
      <w:sz w:val="28"/>
    </w:rPr>
  </w:style>
  <w:style w:type="paragraph" w:customStyle="1" w:styleId="28">
    <w:name w:val="1"/>
    <w:basedOn w:val="1"/>
    <w:next w:val="29"/>
    <w:qFormat/>
    <w:uiPriority w:val="34"/>
    <w:pPr>
      <w:spacing w:line="240" w:lineRule="auto"/>
      <w:ind w:firstLine="420" w:firstLineChars="200"/>
    </w:pPr>
    <w:rPr>
      <w:rFonts w:ascii="Calibri" w:hAnsi="Calibri" w:cs="Times New Roman"/>
      <w:sz w:val="21"/>
    </w:rPr>
  </w:style>
  <w:style w:type="paragraph" w:styleId="29">
    <w:name w:val="List Paragraph"/>
    <w:basedOn w:val="1"/>
    <w:qFormat/>
    <w:uiPriority w:val="34"/>
    <w:pPr>
      <w:ind w:firstLine="420" w:firstLineChars="200"/>
    </w:pPr>
  </w:style>
  <w:style w:type="character" w:customStyle="1" w:styleId="30">
    <w:name w:val="页眉 字符"/>
    <w:basedOn w:val="17"/>
    <w:link w:val="9"/>
    <w:qFormat/>
    <w:uiPriority w:val="99"/>
    <w:rPr>
      <w:rFonts w:ascii="Times New Roman" w:hAnsi="Times New Roman" w:eastAsia="宋体"/>
      <w:sz w:val="18"/>
      <w:szCs w:val="18"/>
    </w:rPr>
  </w:style>
  <w:style w:type="character" w:customStyle="1" w:styleId="31">
    <w:name w:val="页脚 字符"/>
    <w:basedOn w:val="17"/>
    <w:link w:val="8"/>
    <w:qFormat/>
    <w:uiPriority w:val="99"/>
    <w:rPr>
      <w:rFonts w:ascii="Times New Roman" w:hAnsi="Times New Roman" w:eastAsia="宋体"/>
      <w:sz w:val="18"/>
      <w:szCs w:val="18"/>
    </w:rPr>
  </w:style>
  <w:style w:type="paragraph" w:customStyle="1" w:styleId="32">
    <w:name w:val="图名"/>
    <w:basedOn w:val="1"/>
    <w:link w:val="34"/>
    <w:qFormat/>
    <w:uiPriority w:val="0"/>
    <w:pPr>
      <w:spacing w:line="300" w:lineRule="auto"/>
      <w:jc w:val="center"/>
    </w:pPr>
    <w:rPr>
      <w:b/>
      <w:bCs/>
      <w:sz w:val="24"/>
      <w:szCs w:val="21"/>
    </w:rPr>
  </w:style>
  <w:style w:type="character" w:customStyle="1" w:styleId="33">
    <w:name w:val="标题 4 字符"/>
    <w:basedOn w:val="17"/>
    <w:link w:val="5"/>
    <w:qFormat/>
    <w:uiPriority w:val="9"/>
    <w:rPr>
      <w:rFonts w:eastAsia="楷体_GB2312" w:cstheme="minorHAnsi"/>
      <w:b/>
      <w:bCs/>
      <w:sz w:val="32"/>
      <w:szCs w:val="36"/>
    </w:rPr>
  </w:style>
  <w:style w:type="character" w:customStyle="1" w:styleId="34">
    <w:name w:val="图名 字符"/>
    <w:basedOn w:val="17"/>
    <w:link w:val="32"/>
    <w:qFormat/>
    <w:uiPriority w:val="0"/>
    <w:rPr>
      <w:rFonts w:ascii="Times New Roman" w:hAnsi="Times New Roman" w:eastAsia="宋体"/>
      <w:b/>
      <w:bCs/>
      <w:sz w:val="24"/>
      <w:szCs w:val="21"/>
    </w:rPr>
  </w:style>
  <w:style w:type="table" w:customStyle="1" w:styleId="35">
    <w:name w:val="网格表 1 浅色1"/>
    <w:basedOn w:val="15"/>
    <w:qFormat/>
    <w:uiPriority w:val="46"/>
    <w:rPr>
      <w:rFonts w:ascii="Times New Roman" w:hAnsi="Times New Roman" w:eastAsia="宋体"/>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Layout w:type="fixed"/>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paragraph" w:customStyle="1" w:styleId="36">
    <w:name w:val="表头"/>
    <w:basedOn w:val="1"/>
    <w:link w:val="37"/>
    <w:qFormat/>
    <w:uiPriority w:val="0"/>
    <w:pPr>
      <w:spacing w:line="240" w:lineRule="auto"/>
      <w:jc w:val="center"/>
    </w:pPr>
    <w:rPr>
      <w:rFonts w:cs="Times New Roman" w:eastAsiaTheme="minorEastAsia"/>
      <w:b/>
      <w:bCs/>
      <w:kern w:val="0"/>
      <w:sz w:val="24"/>
      <w:szCs w:val="24"/>
    </w:rPr>
  </w:style>
  <w:style w:type="character" w:customStyle="1" w:styleId="37">
    <w:name w:val="表头 字符"/>
    <w:basedOn w:val="17"/>
    <w:link w:val="36"/>
    <w:qFormat/>
    <w:uiPriority w:val="0"/>
    <w:rPr>
      <w:rFonts w:ascii="Times New Roman" w:hAnsi="Times New Roman" w:cs="Times New Roman"/>
      <w:b/>
      <w:bCs/>
      <w:kern w:val="0"/>
      <w:sz w:val="24"/>
      <w:szCs w:val="24"/>
    </w:rPr>
  </w:style>
  <w:style w:type="paragraph" w:customStyle="1" w:styleId="38">
    <w:name w:val="样式1"/>
    <w:basedOn w:val="1"/>
    <w:link w:val="39"/>
    <w:qFormat/>
    <w:uiPriority w:val="0"/>
    <w:pPr>
      <w:outlineLvl w:val="2"/>
    </w:pPr>
    <w:rPr>
      <w:rFonts w:cs="Times New Roman" w:eastAsiaTheme="minorEastAsia"/>
      <w:b/>
      <w:color w:val="000000" w:themeColor="text1"/>
      <w:kern w:val="0"/>
      <w:szCs w:val="28"/>
      <w14:textFill>
        <w14:solidFill>
          <w14:schemeClr w14:val="tx1"/>
        </w14:solidFill>
      </w14:textFill>
    </w:rPr>
  </w:style>
  <w:style w:type="character" w:customStyle="1" w:styleId="39">
    <w:name w:val="样式1 字符"/>
    <w:basedOn w:val="17"/>
    <w:link w:val="38"/>
    <w:qFormat/>
    <w:uiPriority w:val="0"/>
    <w:rPr>
      <w:rFonts w:ascii="Times New Roman" w:hAnsi="Times New Roman" w:cs="Times New Roman"/>
      <w:b/>
      <w:color w:val="000000" w:themeColor="text1"/>
      <w:kern w:val="0"/>
      <w:sz w:val="28"/>
      <w:szCs w:val="28"/>
      <w14:textFill>
        <w14:solidFill>
          <w14:schemeClr w14:val="tx1"/>
        </w14:solidFill>
      </w14:textFill>
    </w:rPr>
  </w:style>
  <w:style w:type="character" w:customStyle="1" w:styleId="40">
    <w:name w:val="未处理的提及1"/>
    <w:basedOn w:val="17"/>
    <w:semiHidden/>
    <w:unhideWhenUsed/>
    <w:qFormat/>
    <w:uiPriority w:val="99"/>
    <w:rPr>
      <w:color w:val="605E5C"/>
      <w:shd w:val="clear" w:color="auto" w:fill="E1DFDD"/>
    </w:rPr>
  </w:style>
  <w:style w:type="paragraph" w:customStyle="1" w:styleId="41">
    <w:name w:val="专栏"/>
    <w:basedOn w:val="1"/>
    <w:link w:val="42"/>
    <w:qFormat/>
    <w:uiPriority w:val="0"/>
    <w:pPr>
      <w:ind w:firstLine="480" w:firstLineChars="200"/>
    </w:pPr>
    <w:rPr>
      <w:rFonts w:ascii="楷体" w:hAnsi="楷体" w:eastAsia="楷体" w:cs="Times New Roman"/>
      <w:bCs/>
      <w:kern w:val="0"/>
      <w:sz w:val="24"/>
      <w:szCs w:val="28"/>
    </w:rPr>
  </w:style>
  <w:style w:type="character" w:customStyle="1" w:styleId="42">
    <w:name w:val="专栏 字符"/>
    <w:basedOn w:val="17"/>
    <w:link w:val="41"/>
    <w:qFormat/>
    <w:uiPriority w:val="0"/>
    <w:rPr>
      <w:rFonts w:ascii="楷体" w:hAnsi="楷体" w:eastAsia="楷体" w:cs="Times New Roman"/>
      <w:bCs/>
      <w:kern w:val="0"/>
      <w:sz w:val="24"/>
      <w:szCs w:val="28"/>
    </w:rPr>
  </w:style>
  <w:style w:type="paragraph" w:customStyle="1" w:styleId="43">
    <w:name w:val="_Style 22"/>
    <w:basedOn w:val="1"/>
    <w:qFormat/>
    <w:uiPriority w:val="0"/>
    <w:pPr>
      <w:spacing w:line="240" w:lineRule="auto"/>
    </w:pPr>
    <w:rPr>
      <w:rFonts w:ascii="仿宋_GB2312" w:eastAsia="仿宋_GB2312" w:cs="Times New Roman"/>
      <w:b/>
      <w:sz w:val="32"/>
      <w:szCs w:val="32"/>
    </w:rPr>
  </w:style>
  <w:style w:type="character" w:customStyle="1" w:styleId="44">
    <w:name w:val="未处理的提及11"/>
    <w:basedOn w:val="17"/>
    <w:semiHidden/>
    <w:unhideWhenUsed/>
    <w:qFormat/>
    <w:uiPriority w:val="99"/>
    <w:rPr>
      <w:color w:val="605E5C"/>
      <w:shd w:val="clear" w:color="auto" w:fill="E1DFDD"/>
    </w:rPr>
  </w:style>
  <w:style w:type="paragraph" w:customStyle="1" w:styleId="45">
    <w:name w:val="修订1"/>
    <w:hidden/>
    <w:semiHidden/>
    <w:qFormat/>
    <w:uiPriority w:val="99"/>
    <w:rPr>
      <w:rFonts w:ascii="Times New Roman" w:hAnsi="Times New Roman" w:eastAsia="宋体" w:cstheme="minorBidi"/>
      <w:kern w:val="2"/>
      <w:sz w:val="28"/>
      <w:szCs w:val="22"/>
      <w:lang w:val="en-US" w:eastAsia="zh-CN" w:bidi="ar-SA"/>
    </w:rPr>
  </w:style>
  <w:style w:type="character" w:customStyle="1" w:styleId="46">
    <w:name w:val="日期 字符"/>
    <w:basedOn w:val="17"/>
    <w:link w:val="7"/>
    <w:semiHidden/>
    <w:qFormat/>
    <w:uiPriority w:val="99"/>
    <w:rPr>
      <w:rFonts w:ascii="Times New Roman" w:hAnsi="Times New Roman" w:eastAsia="宋体"/>
      <w:sz w:val="28"/>
    </w:rPr>
  </w:style>
  <w:style w:type="paragraph" w:customStyle="1" w:styleId="47">
    <w:name w:val="修订2"/>
    <w:hidden/>
    <w:semiHidden/>
    <w:qFormat/>
    <w:uiPriority w:val="99"/>
    <w:rPr>
      <w:rFonts w:ascii="Times New Roman" w:hAnsi="Times New Roman" w:eastAsia="宋体" w:cstheme="minorBidi"/>
      <w:kern w:val="2"/>
      <w:sz w:val="28"/>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chart" Target="charts/chart1.xml"/><Relationship Id="rId10" Type="http://schemas.openxmlformats.org/officeDocument/2006/relationships/theme" Target="theme/theme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粮食大豆</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Sheet1!$A$2:$A$14</c:f>
              <c:strCache>
                <c:ptCount val="13"/>
                <c:pt idx="0">
                  <c:v>黄村镇</c:v>
                </c:pt>
                <c:pt idx="1">
                  <c:v>青云店镇</c:v>
                </c:pt>
                <c:pt idx="2">
                  <c:v>采育镇</c:v>
                </c:pt>
                <c:pt idx="3">
                  <c:v>安定镇</c:v>
                </c:pt>
                <c:pt idx="4">
                  <c:v>礼贤镇</c:v>
                </c:pt>
                <c:pt idx="5">
                  <c:v>榆垡镇</c:v>
                </c:pt>
                <c:pt idx="6">
                  <c:v>庞各庄镇</c:v>
                </c:pt>
                <c:pt idx="7">
                  <c:v>北臧村镇</c:v>
                </c:pt>
                <c:pt idx="8">
                  <c:v>魏善庄镇</c:v>
                </c:pt>
                <c:pt idx="9">
                  <c:v>长子营镇</c:v>
                </c:pt>
                <c:pt idx="10">
                  <c:v>旧宫镇</c:v>
                </c:pt>
                <c:pt idx="11">
                  <c:v>西红门镇</c:v>
                </c:pt>
                <c:pt idx="12">
                  <c:v>瀛海镇</c:v>
                </c:pt>
              </c:strCache>
            </c:strRef>
          </c:cat>
          <c:val>
            <c:numRef>
              <c:f>Sheet1!$B$2:$B$14</c:f>
              <c:numCache>
                <c:formatCode>0</c:formatCode>
                <c:ptCount val="13"/>
                <c:pt idx="0">
                  <c:v>3942.7</c:v>
                </c:pt>
                <c:pt idx="1">
                  <c:v>16857</c:v>
                </c:pt>
                <c:pt idx="2">
                  <c:v>8684.3</c:v>
                </c:pt>
                <c:pt idx="3">
                  <c:v>13812.5</c:v>
                </c:pt>
                <c:pt idx="4">
                  <c:v>16665.9</c:v>
                </c:pt>
                <c:pt idx="5">
                  <c:v>26406</c:v>
                </c:pt>
                <c:pt idx="6">
                  <c:v>35909.1</c:v>
                </c:pt>
                <c:pt idx="7">
                  <c:v>2556.4</c:v>
                </c:pt>
                <c:pt idx="8">
                  <c:v>12433.5</c:v>
                </c:pt>
                <c:pt idx="9">
                  <c:v>9909.7</c:v>
                </c:pt>
                <c:pt idx="10">
                  <c:v>1645.4</c:v>
                </c:pt>
                <c:pt idx="11">
                  <c:v>200</c:v>
                </c:pt>
                <c:pt idx="12">
                  <c:v>1488</c:v>
                </c:pt>
              </c:numCache>
            </c:numRef>
          </c:val>
        </c:ser>
        <c:ser>
          <c:idx val="1"/>
          <c:order val="1"/>
          <c:tx>
            <c:strRef>
              <c:f>Sheet1!$C$1</c:f>
              <c:strCache>
                <c:ptCount val="1"/>
                <c:pt idx="0">
                  <c:v>西甜瓜及蔬菜</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Sheet1!$A$2:$A$14</c:f>
              <c:strCache>
                <c:ptCount val="13"/>
                <c:pt idx="0">
                  <c:v>黄村镇</c:v>
                </c:pt>
                <c:pt idx="1">
                  <c:v>青云店镇</c:v>
                </c:pt>
                <c:pt idx="2">
                  <c:v>采育镇</c:v>
                </c:pt>
                <c:pt idx="3">
                  <c:v>安定镇</c:v>
                </c:pt>
                <c:pt idx="4">
                  <c:v>礼贤镇</c:v>
                </c:pt>
                <c:pt idx="5">
                  <c:v>榆垡镇</c:v>
                </c:pt>
                <c:pt idx="6">
                  <c:v>庞各庄镇</c:v>
                </c:pt>
                <c:pt idx="7">
                  <c:v>北臧村镇</c:v>
                </c:pt>
                <c:pt idx="8">
                  <c:v>魏善庄镇</c:v>
                </c:pt>
                <c:pt idx="9">
                  <c:v>长子营镇</c:v>
                </c:pt>
                <c:pt idx="10">
                  <c:v>旧宫镇</c:v>
                </c:pt>
                <c:pt idx="11">
                  <c:v>西红门镇</c:v>
                </c:pt>
                <c:pt idx="12">
                  <c:v>瀛海镇</c:v>
                </c:pt>
              </c:strCache>
            </c:strRef>
          </c:cat>
          <c:val>
            <c:numRef>
              <c:f>Sheet1!$C$2:$C$14</c:f>
              <c:numCache>
                <c:formatCode>0</c:formatCode>
                <c:ptCount val="13"/>
                <c:pt idx="0">
                  <c:v>2323.6</c:v>
                </c:pt>
                <c:pt idx="1">
                  <c:v>44011.8</c:v>
                </c:pt>
                <c:pt idx="2">
                  <c:v>21695.1</c:v>
                </c:pt>
                <c:pt idx="3">
                  <c:v>14874.1</c:v>
                </c:pt>
                <c:pt idx="4">
                  <c:v>14623.1</c:v>
                </c:pt>
                <c:pt idx="5">
                  <c:v>20064.8</c:v>
                </c:pt>
                <c:pt idx="6">
                  <c:v>44579.8</c:v>
                </c:pt>
                <c:pt idx="7">
                  <c:v>20659.8</c:v>
                </c:pt>
                <c:pt idx="8">
                  <c:v>10368.2</c:v>
                </c:pt>
                <c:pt idx="9">
                  <c:v>53597</c:v>
                </c:pt>
                <c:pt idx="10">
                  <c:v>0</c:v>
                </c:pt>
                <c:pt idx="11">
                  <c:v>0</c:v>
                </c:pt>
                <c:pt idx="12">
                  <c:v>148.7</c:v>
                </c:pt>
              </c:numCache>
            </c:numRef>
          </c:val>
        </c:ser>
        <c:ser>
          <c:idx val="2"/>
          <c:order val="2"/>
          <c:tx>
            <c:strRef>
              <c:f>Sheet1!$D$1</c:f>
              <c:strCache>
                <c:ptCount val="1"/>
                <c:pt idx="0">
                  <c:v>果树</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Sheet1!$A$2:$A$14</c:f>
              <c:strCache>
                <c:ptCount val="13"/>
                <c:pt idx="0">
                  <c:v>黄村镇</c:v>
                </c:pt>
                <c:pt idx="1">
                  <c:v>青云店镇</c:v>
                </c:pt>
                <c:pt idx="2">
                  <c:v>采育镇</c:v>
                </c:pt>
                <c:pt idx="3">
                  <c:v>安定镇</c:v>
                </c:pt>
                <c:pt idx="4">
                  <c:v>礼贤镇</c:v>
                </c:pt>
                <c:pt idx="5">
                  <c:v>榆垡镇</c:v>
                </c:pt>
                <c:pt idx="6">
                  <c:v>庞各庄镇</c:v>
                </c:pt>
                <c:pt idx="7">
                  <c:v>北臧村镇</c:v>
                </c:pt>
                <c:pt idx="8">
                  <c:v>魏善庄镇</c:v>
                </c:pt>
                <c:pt idx="9">
                  <c:v>长子营镇</c:v>
                </c:pt>
                <c:pt idx="10">
                  <c:v>旧宫镇</c:v>
                </c:pt>
                <c:pt idx="11">
                  <c:v>西红门镇</c:v>
                </c:pt>
                <c:pt idx="12">
                  <c:v>瀛海镇</c:v>
                </c:pt>
              </c:strCache>
            </c:strRef>
          </c:cat>
          <c:val>
            <c:numRef>
              <c:f>Sheet1!$D$2:$D$14</c:f>
              <c:numCache>
                <c:formatCode>0</c:formatCode>
                <c:ptCount val="13"/>
                <c:pt idx="0">
                  <c:v>358</c:v>
                </c:pt>
                <c:pt idx="1">
                  <c:v>704</c:v>
                </c:pt>
                <c:pt idx="2">
                  <c:v>16300</c:v>
                </c:pt>
                <c:pt idx="3">
                  <c:v>2372</c:v>
                </c:pt>
                <c:pt idx="4">
                  <c:v>3368</c:v>
                </c:pt>
                <c:pt idx="5">
                  <c:v>6341</c:v>
                </c:pt>
                <c:pt idx="6">
                  <c:v>14491</c:v>
                </c:pt>
                <c:pt idx="7">
                  <c:v>3523</c:v>
                </c:pt>
                <c:pt idx="8">
                  <c:v>3739</c:v>
                </c:pt>
                <c:pt idx="9">
                  <c:v>4853</c:v>
                </c:pt>
                <c:pt idx="10">
                  <c:v>0</c:v>
                </c:pt>
                <c:pt idx="11">
                  <c:v>0</c:v>
                </c:pt>
                <c:pt idx="12">
                  <c:v>0</c:v>
                </c:pt>
              </c:numCache>
            </c:numRef>
          </c:val>
        </c:ser>
        <c:dLbls>
          <c:showLegendKey val="0"/>
          <c:showVal val="0"/>
          <c:showCatName val="0"/>
          <c:showSerName val="0"/>
          <c:showPercent val="0"/>
          <c:showBubbleSize val="0"/>
        </c:dLbls>
        <c:gapWidth val="150"/>
        <c:axId val="420928936"/>
        <c:axId val="420929264"/>
      </c:barChart>
      <c:catAx>
        <c:axId val="4209289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20929264"/>
        <c:crosses val="autoZero"/>
        <c:auto val="1"/>
        <c:lblAlgn val="ctr"/>
        <c:lblOffset val="100"/>
        <c:noMultiLvlLbl val="0"/>
      </c:catAx>
      <c:valAx>
        <c:axId val="420929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r>
                  <a:rPr lang="zh-CN" altLang="en-US" sz="1000"/>
                  <a:t>种植规模：亩</a:t>
                </a:r>
                <a:endParaRPr lang="zh-CN" altLang="en-US" sz="1000"/>
              </a:p>
            </c:rich>
          </c:tx>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209289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自定义 5">
      <a:majorFont>
        <a:latin typeface="Times New Roman"/>
        <a:ea typeface="宋体"/>
        <a:cs typeface=""/>
      </a:majorFont>
      <a:minorFont>
        <a:latin typeface="Times New Roman"/>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49"/>
    <customShpInfo spid="_x0000_s2050"/>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4176</Words>
  <Characters>23806</Characters>
  <Lines>198</Lines>
  <Paragraphs>55</Paragraphs>
  <TotalTime>0</TotalTime>
  <ScaleCrop>false</ScaleCrop>
  <LinksUpToDate>false</LinksUpToDate>
  <CharactersWithSpaces>27927</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2023-04-13T10:01:00Z</dcterms:created>
  <dc:creator>Zhu XL</dc:creator>
  <cp:lastModifiedBy>月</cp:lastModifiedBy>
  <cp:lastPrinted>2022-11-20T02:28:00Z</cp:lastPrinted>
  <dcterms:modified xsi:type="dcterms:W3CDTF">2023-11-20T09:29:25Z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