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  <w:r>
        <w:rPr/>
        <w:pict>
          <v:shape style="position:absolute;margin-left:14.101753pt;margin-top:401.402161pt;width:576pt;height:48pt;mso-position-horizontal-relative:page;mso-position-vertical-relative:page;z-index:-252096512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6"/>
        <w:ind w:left="0"/>
        <w:rPr>
          <w:rFonts w:ascii="Times New Roman"/>
          <w:sz w:val="28"/>
        </w:rPr>
      </w:pPr>
    </w:p>
    <w:p>
      <w:pPr>
        <w:spacing w:line="1402" w:lineRule="exact" w:before="0"/>
        <w:ind w:left="531" w:right="0" w:firstLine="0"/>
        <w:jc w:val="left"/>
        <w:rPr>
          <w:rFonts w:ascii="方正小标宋简体" w:eastAsia="方正小标宋简体" w:hint="eastAsia"/>
          <w:sz w:val="88"/>
        </w:rPr>
      </w:pPr>
      <w:r>
        <w:rPr>
          <w:rFonts w:ascii="方正小标宋简体" w:eastAsia="方正小标宋简体" w:hint="eastAsia"/>
          <w:color w:val="FF0000"/>
          <w:w w:val="80"/>
          <w:sz w:val="88"/>
        </w:rPr>
        <w:t>北京市大兴区经济和信息化局</w:t>
      </w:r>
    </w:p>
    <w:p>
      <w:pPr>
        <w:pStyle w:val="BodyText"/>
        <w:spacing w:before="774"/>
        <w:ind w:left="2724"/>
      </w:pPr>
      <w:r>
        <w:rPr/>
        <w:t>京兴经信发〔2020〕5 号</w:t>
      </w:r>
    </w:p>
    <w:p>
      <w:pPr>
        <w:pStyle w:val="BodyText"/>
        <w:spacing w:before="9"/>
        <w:ind w:left="0"/>
        <w:rPr>
          <w:sz w:val="12"/>
        </w:rPr>
      </w:pPr>
      <w:r>
        <w:rPr/>
        <w:pict>
          <v:shape style="position:absolute;margin-left:72.25pt;margin-top:10.882512pt;width:459pt;height:.1pt;mso-position-horizontal-relative:page;mso-position-vertical-relative:paragraph;z-index:-251658240;mso-wrap-distance-left:0;mso-wrap-distance-right:0" coordorigin="1445,218" coordsize="9180,0" path="m1445,218l10625,218e" filled="false" stroked="true" strokeweight="1.44pt" strokecolor="#ff0000">
            <v:path arrowok="t"/>
            <v:stroke dashstyle="solid"/>
            <w10:wrap type="topAndBottom"/>
          </v:shape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5"/>
        </w:rPr>
      </w:pPr>
    </w:p>
    <w:p>
      <w:pPr>
        <w:spacing w:line="743" w:lineRule="exact" w:before="0"/>
        <w:ind w:left="935" w:right="2121" w:firstLine="0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北京市大兴区经济和信息化局</w:t>
      </w:r>
    </w:p>
    <w:p>
      <w:pPr>
        <w:spacing w:line="235" w:lineRule="auto" w:before="0"/>
        <w:ind w:left="939" w:right="2121" w:firstLine="0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关于印发《大兴区促进高精尖产业发展暂行办法实施细则》的通知</w:t>
      </w:r>
    </w:p>
    <w:p>
      <w:pPr>
        <w:pStyle w:val="BodyText"/>
        <w:spacing w:before="2"/>
        <w:ind w:left="0"/>
        <w:rPr>
          <w:rFonts w:ascii="方正小标宋简体"/>
          <w:sz w:val="54"/>
        </w:rPr>
      </w:pPr>
    </w:p>
    <w:p>
      <w:pPr>
        <w:pStyle w:val="BodyText"/>
        <w:spacing w:line="326" w:lineRule="auto"/>
        <w:ind w:right="1346"/>
      </w:pPr>
      <w:r>
        <w:rPr/>
        <w:t>各镇人民政府，区政府各委、办、局（公司）中心，各街道办事处：</w:t>
      </w:r>
    </w:p>
    <w:p>
      <w:pPr>
        <w:pStyle w:val="BodyText"/>
        <w:spacing w:before="3"/>
        <w:ind w:left="867"/>
      </w:pPr>
      <w:r>
        <w:rPr/>
        <w:t>为落实《大兴区促进高精尖产业发展暂行办法》（京兴政发</w:t>
      </w:r>
    </w:p>
    <w:p>
      <w:pPr>
        <w:pStyle w:val="BodyText"/>
        <w:spacing w:line="326" w:lineRule="auto" w:before="152"/>
        <w:ind w:right="1410"/>
        <w:jc w:val="both"/>
      </w:pPr>
      <w:r>
        <w:rPr>
          <w:spacing w:val="-6"/>
          <w:w w:val="100"/>
        </w:rPr>
        <w:t>（</w:t>
      </w:r>
      <w:r>
        <w:rPr>
          <w:spacing w:val="2"/>
          <w:w w:val="100"/>
        </w:rPr>
        <w:t>2</w:t>
      </w:r>
      <w:r>
        <w:rPr>
          <w:spacing w:val="-3"/>
          <w:w w:val="100"/>
        </w:rPr>
        <w:t>02</w:t>
      </w:r>
      <w:r>
        <w:rPr>
          <w:spacing w:val="2"/>
          <w:w w:val="100"/>
        </w:rPr>
        <w:t>0</w:t>
      </w:r>
      <w:r>
        <w:rPr>
          <w:spacing w:val="-1"/>
          <w:w w:val="100"/>
        </w:rPr>
        <w:t>）</w:t>
      </w:r>
      <w:r>
        <w:rPr>
          <w:spacing w:val="2"/>
          <w:w w:val="100"/>
        </w:rPr>
        <w:t>1</w:t>
      </w:r>
      <w:r>
        <w:rPr>
          <w:w w:val="100"/>
        </w:rPr>
        <w:t>6</w:t>
      </w:r>
      <w:r>
        <w:rPr>
          <w:spacing w:val="-86"/>
        </w:rPr>
        <w:t> </w:t>
      </w:r>
      <w:r>
        <w:rPr>
          <w:spacing w:val="-1"/>
          <w:w w:val="100"/>
        </w:rPr>
        <w:t>号</w:t>
      </w:r>
      <w:r>
        <w:rPr>
          <w:spacing w:val="-159"/>
          <w:w w:val="100"/>
        </w:rPr>
        <w:t>）</w:t>
      </w:r>
      <w:r>
        <w:rPr>
          <w:spacing w:val="-5"/>
          <w:w w:val="100"/>
        </w:rPr>
        <w:t>，加快构建高精尖产业体系，我局制定了《大兴</w:t>
      </w:r>
      <w:r>
        <w:rPr>
          <w:spacing w:val="-9"/>
        </w:rPr>
        <w:t>区促进高精尖产业发展暂行办法实施细则》，现予印发，请参照</w:t>
      </w:r>
      <w:r>
        <w:rPr>
          <w:spacing w:val="-6"/>
        </w:rPr>
        <w:t>执行。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328" w:lineRule="auto" w:before="1"/>
        <w:ind w:left="5849" w:right="1410" w:hanging="879"/>
      </w:pPr>
      <w:r>
        <w:rPr>
          <w:spacing w:val="-5"/>
        </w:rPr>
        <w:t>北京市大兴区经济和信息化局2020</w:t>
      </w:r>
      <w:r>
        <w:rPr>
          <w:spacing w:val="-55"/>
        </w:rPr>
        <w:t> 年 </w:t>
      </w:r>
      <w:r>
        <w:rPr/>
        <w:t>11</w:t>
      </w:r>
      <w:r>
        <w:rPr>
          <w:spacing w:val="-55"/>
        </w:rPr>
        <w:t> 月 </w:t>
      </w:r>
      <w:r>
        <w:rPr/>
        <w:t>10</w:t>
      </w:r>
      <w:r>
        <w:rPr>
          <w:spacing w:val="-43"/>
        </w:rPr>
        <w:t> 日</w:t>
      </w:r>
    </w:p>
    <w:p>
      <w:pPr>
        <w:spacing w:after="0" w:line="328" w:lineRule="auto"/>
        <w:sectPr>
          <w:footerReference w:type="default" r:id="rId5"/>
          <w:footerReference w:type="even" r:id="rId6"/>
          <w:type w:val="continuous"/>
          <w:pgSz w:w="11910" w:h="16840"/>
          <w:pgMar w:footer="954" w:top="1580" w:bottom="1140" w:left="1360" w:right="0"/>
          <w:pgNumType w:start="1"/>
        </w:sectPr>
      </w:pPr>
    </w:p>
    <w:p>
      <w:pPr>
        <w:pStyle w:val="BodyText"/>
        <w:ind w:left="0"/>
        <w:rPr>
          <w:sz w:val="20"/>
        </w:rPr>
      </w:pPr>
      <w:r>
        <w:rPr/>
        <w:pict>
          <v:shape style="position:absolute;margin-left:14.101753pt;margin-top:401.402161pt;width:576pt;height:48pt;mso-position-horizontal-relative:page;mso-position-vertical-relative:page;z-index:-252094464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spacing w:before="132"/>
        <w:ind w:left="618" w:right="1892" w:firstLine="0"/>
        <w:jc w:val="center"/>
        <w:rPr>
          <w:rFonts w:ascii="方正小标宋简体" w:eastAsia="方正小标宋简体" w:hint="eastAsia"/>
          <w:sz w:val="40"/>
        </w:rPr>
      </w:pPr>
      <w:r>
        <w:rPr>
          <w:rFonts w:ascii="方正小标宋简体" w:eastAsia="方正小标宋简体" w:hint="eastAsia"/>
          <w:sz w:val="40"/>
        </w:rPr>
        <w:t>大兴区促进高精尖产业发展暂行办法实施细则</w:t>
      </w:r>
    </w:p>
    <w:p>
      <w:pPr>
        <w:pStyle w:val="BodyText"/>
        <w:ind w:left="0"/>
        <w:rPr>
          <w:rFonts w:ascii="方正小标宋简体"/>
          <w:sz w:val="44"/>
        </w:rPr>
      </w:pPr>
    </w:p>
    <w:p>
      <w:pPr>
        <w:pStyle w:val="BodyText"/>
        <w:ind w:left="939" w:right="2121"/>
        <w:jc w:val="center"/>
        <w:rPr>
          <w:rFonts w:ascii="黑体" w:eastAsia="黑体" w:hint="eastAsia"/>
        </w:rPr>
      </w:pPr>
      <w:r>
        <w:rPr>
          <w:rFonts w:ascii="黑体" w:eastAsia="黑体" w:hint="eastAsia"/>
        </w:rPr>
        <w:t>第一章 总则</w:t>
      </w:r>
    </w:p>
    <w:p>
      <w:pPr>
        <w:pStyle w:val="BodyText"/>
        <w:spacing w:before="2"/>
        <w:ind w:left="0"/>
        <w:rPr>
          <w:rFonts w:ascii="黑体"/>
          <w:sz w:val="24"/>
        </w:rPr>
      </w:pPr>
    </w:p>
    <w:p>
      <w:pPr>
        <w:pStyle w:val="BodyText"/>
        <w:spacing w:before="1"/>
        <w:ind w:left="867"/>
        <w:jc w:val="both"/>
      </w:pPr>
      <w:r>
        <w:rPr>
          <w:rFonts w:ascii="黑体" w:eastAsia="黑体" w:hint="eastAsia"/>
        </w:rPr>
        <w:t>第一条 </w:t>
      </w:r>
      <w:r>
        <w:rPr/>
        <w:t>为贯彻落实《大兴区促进高精尖产业发展暂行办法》</w:t>
      </w:r>
    </w:p>
    <w:p>
      <w:pPr>
        <w:pStyle w:val="BodyText"/>
        <w:spacing w:line="328" w:lineRule="auto" w:before="151"/>
        <w:ind w:right="1410"/>
        <w:jc w:val="both"/>
      </w:pPr>
      <w:r>
        <w:rPr>
          <w:spacing w:val="-6"/>
          <w:w w:val="100"/>
        </w:rPr>
        <w:t>（</w:t>
      </w:r>
      <w:r>
        <w:rPr>
          <w:spacing w:val="-3"/>
          <w:w w:val="100"/>
        </w:rPr>
        <w:t>京兴政发〔</w:t>
      </w:r>
      <w:r>
        <w:rPr>
          <w:spacing w:val="2"/>
          <w:w w:val="100"/>
        </w:rPr>
        <w:t>2</w:t>
      </w:r>
      <w:r>
        <w:rPr>
          <w:spacing w:val="-3"/>
          <w:w w:val="100"/>
        </w:rPr>
        <w:t>02</w:t>
      </w:r>
      <w:r>
        <w:rPr>
          <w:spacing w:val="2"/>
          <w:w w:val="100"/>
        </w:rPr>
        <w:t>0</w:t>
      </w:r>
      <w:r>
        <w:rPr>
          <w:spacing w:val="-1"/>
          <w:w w:val="100"/>
        </w:rPr>
        <w:t>〕</w:t>
      </w:r>
      <w:r>
        <w:rPr>
          <w:spacing w:val="2"/>
          <w:w w:val="100"/>
        </w:rPr>
        <w:t>1</w:t>
      </w:r>
      <w:r>
        <w:rPr>
          <w:w w:val="100"/>
        </w:rPr>
        <w:t>6</w:t>
      </w:r>
      <w:r>
        <w:rPr>
          <w:spacing w:val="-86"/>
        </w:rPr>
        <w:t> </w:t>
      </w:r>
      <w:r>
        <w:rPr>
          <w:spacing w:val="-1"/>
          <w:w w:val="100"/>
        </w:rPr>
        <w:t>号）</w:t>
      </w:r>
      <w:r>
        <w:rPr>
          <w:spacing w:val="-18"/>
          <w:w w:val="100"/>
        </w:rPr>
        <w:t>(以下简称《暂行办法》</w:t>
      </w:r>
      <w:r>
        <w:rPr>
          <w:spacing w:val="-159"/>
          <w:w w:val="100"/>
        </w:rPr>
        <w:t>）</w:t>
      </w:r>
      <w:r>
        <w:rPr>
          <w:spacing w:val="-1"/>
          <w:w w:val="100"/>
        </w:rPr>
        <w:t>，加快引进</w:t>
      </w:r>
      <w:r>
        <w:rPr>
          <w:spacing w:val="3"/>
        </w:rPr>
        <w:t>和培育一批符合大兴区战略功能定位和实际发展需求的高精尖</w:t>
      </w:r>
      <w:r>
        <w:rPr>
          <w:spacing w:val="-10"/>
        </w:rPr>
        <w:t>重点产业优势主体，针对《暂行办法》中未详尽的事项，特制定</w:t>
      </w:r>
      <w:r>
        <w:rPr>
          <w:spacing w:val="-5"/>
        </w:rPr>
        <w:t>本实施细则。</w:t>
      </w:r>
    </w:p>
    <w:p>
      <w:pPr>
        <w:pStyle w:val="BodyText"/>
        <w:spacing w:line="328" w:lineRule="auto"/>
        <w:ind w:right="1410" w:firstLine="638"/>
        <w:jc w:val="both"/>
      </w:pPr>
      <w:r>
        <w:rPr>
          <w:spacing w:val="-10"/>
        </w:rPr>
        <w:t>本实施细则所涉及的支持资金，按照《大兴区促进产业发展</w:t>
      </w:r>
      <w:r>
        <w:rPr>
          <w:spacing w:val="-37"/>
        </w:rPr>
        <w:t>的指导意见》</w:t>
      </w:r>
      <w:r>
        <w:rPr>
          <w:spacing w:val="-6"/>
        </w:rPr>
        <w:t>（</w:t>
      </w:r>
      <w:r>
        <w:rPr>
          <w:spacing w:val="-8"/>
        </w:rPr>
        <w:t>京兴政发〔</w:t>
      </w:r>
      <w:r>
        <w:rPr>
          <w:rFonts w:ascii="Times New Roman" w:hAnsi="Times New Roman" w:eastAsia="Times New Roman"/>
        </w:rPr>
        <w:t>2018</w:t>
      </w:r>
      <w:r>
        <w:rPr>
          <w:spacing w:val="-30"/>
        </w:rPr>
        <w:t>〕</w:t>
      </w:r>
      <w:r>
        <w:rPr>
          <w:rFonts w:ascii="Times New Roman" w:hAnsi="Times New Roman" w:eastAsia="Times New Roman"/>
        </w:rPr>
        <w:t>5 </w:t>
      </w:r>
      <w:r>
        <w:rPr/>
        <w:t>号</w:t>
      </w:r>
      <w:r>
        <w:rPr>
          <w:spacing w:val="-30"/>
        </w:rPr>
        <w:t>）</w:t>
      </w:r>
      <w:r>
        <w:rPr>
          <w:spacing w:val="-7"/>
        </w:rPr>
        <w:t>的相关规定，由大兴区产</w:t>
      </w:r>
      <w:r>
        <w:rPr>
          <w:spacing w:val="-10"/>
        </w:rPr>
        <w:t>业发展专项资金以“事后补贴”的方式给予拨付，单项产业政策</w:t>
      </w:r>
      <w:r>
        <w:rPr>
          <w:spacing w:val="-8"/>
        </w:rPr>
        <w:t>扶持资金数额低于 </w:t>
      </w:r>
      <w:r>
        <w:rPr>
          <w:rFonts w:ascii="Times New Roman" w:hAnsi="Times New Roman" w:eastAsia="Times New Roman"/>
        </w:rPr>
        <w:t>10 </w:t>
      </w:r>
      <w:r>
        <w:rPr/>
        <w:t>万元的企业原则上不予奖励，扶持资金总</w:t>
      </w:r>
      <w:r>
        <w:rPr>
          <w:spacing w:val="-5"/>
        </w:rPr>
        <w:t>额不能超过该企业当年</w:t>
      </w:r>
      <w:hyperlink w:history="true" w:anchor="_bookmark0">
        <w:r>
          <w:rPr>
            <w:rFonts w:ascii="Times New Roman" w:hAnsi="Times New Roman" w:eastAsia="Times New Roman"/>
            <w:vertAlign w:val="superscript"/>
          </w:rPr>
          <w:t>1</w:t>
        </w:r>
      </w:hyperlink>
      <w:r>
        <w:rPr>
          <w:spacing w:val="-3"/>
          <w:vertAlign w:val="baseline"/>
        </w:rPr>
        <w:t>对区级贡献度。</w:t>
      </w:r>
    </w:p>
    <w:p>
      <w:pPr>
        <w:pStyle w:val="BodyText"/>
        <w:spacing w:before="143"/>
        <w:ind w:left="935" w:right="2121"/>
        <w:jc w:val="center"/>
        <w:rPr>
          <w:rFonts w:ascii="黑体" w:eastAsia="黑体" w:hint="eastAsia"/>
        </w:rPr>
      </w:pPr>
      <w:r>
        <w:rPr>
          <w:rFonts w:ascii="黑体" w:eastAsia="黑体" w:hint="eastAsia"/>
        </w:rPr>
        <w:t>第二章 支持对象</w:t>
      </w:r>
    </w:p>
    <w:p>
      <w:pPr>
        <w:pStyle w:val="BodyText"/>
        <w:spacing w:before="3"/>
        <w:ind w:left="0"/>
        <w:rPr>
          <w:rFonts w:ascii="黑体"/>
          <w:sz w:val="24"/>
        </w:rPr>
      </w:pPr>
    </w:p>
    <w:p>
      <w:pPr>
        <w:pStyle w:val="BodyText"/>
        <w:spacing w:line="328" w:lineRule="auto"/>
        <w:ind w:right="1410" w:firstLine="638"/>
        <w:jc w:val="both"/>
      </w:pPr>
      <w:r>
        <w:rPr>
          <w:rFonts w:ascii="黑体" w:eastAsia="黑体" w:hint="eastAsia"/>
          <w:spacing w:val="11"/>
        </w:rPr>
        <w:t>第二条 </w:t>
      </w:r>
      <w:r>
        <w:rPr/>
        <w:t>本实施细则的支持对象紧密围绕北京市高精尖产业</w:t>
      </w:r>
      <w:r>
        <w:rPr>
          <w:spacing w:val="-8"/>
        </w:rPr>
        <w:t>的总体布局以及大兴区构建特色高精尖产业结构的实际需求，重</w:t>
      </w:r>
      <w:r>
        <w:rPr>
          <w:spacing w:val="-10"/>
        </w:rPr>
        <w:t>点支持医药健康以及新一代信息技术、智能装备、科技服务等十</w:t>
      </w:r>
      <w:r>
        <w:rPr>
          <w:spacing w:val="-6"/>
        </w:rPr>
        <w:t>大高精尖重点产业领域的优势企业主体。</w:t>
      </w:r>
    </w:p>
    <w:p>
      <w:pPr>
        <w:pStyle w:val="BodyText"/>
        <w:spacing w:line="326" w:lineRule="auto"/>
        <w:ind w:right="1347" w:firstLine="638"/>
      </w:pPr>
      <w:r>
        <w:rPr/>
        <w:t>具体包括在北京市大兴区行政区域范围内进行工商注册、税务登记、统计登记的以下企业：</w:t>
      </w:r>
    </w:p>
    <w:p>
      <w:pPr>
        <w:pStyle w:val="ListParagraph"/>
        <w:numPr>
          <w:ilvl w:val="0"/>
          <w:numId w:val="1"/>
        </w:numPr>
        <w:tabs>
          <w:tab w:pos="1189" w:val="left" w:leader="none"/>
        </w:tabs>
        <w:spacing w:line="240" w:lineRule="auto" w:before="0" w:after="0"/>
        <w:ind w:left="1188" w:right="0" w:hanging="322"/>
        <w:jc w:val="left"/>
        <w:rPr>
          <w:rFonts w:ascii="Times New Roman" w:eastAsia="Times New Roman"/>
          <w:sz w:val="30"/>
        </w:rPr>
      </w:pPr>
      <w:r>
        <w:rPr>
          <w:spacing w:val="-19"/>
          <w:sz w:val="32"/>
        </w:rPr>
        <w:t>在《北京市十大高精尖产业登记指导目录》范围内的企业；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  <w:r>
        <w:rPr/>
        <w:pict>
          <v:shape style="position:absolute;margin-left:79.349998pt;margin-top:16.439688pt;width:144pt;height:.1pt;mso-position-horizontal-relative:page;mso-position-vertical-relative:paragraph;z-index:-251656192;mso-wrap-distance-left:0;mso-wrap-distance-right:0" coordorigin="1587,329" coordsize="2880,0" path="m1587,329l4467,329e" filled="false" stroked="true" strokeweight="0pt" strokecolor="#000000">
            <v:path arrowok="t"/>
            <v:stroke dashstyle="solid"/>
            <w10:wrap type="topAndBottom"/>
          </v:shape>
        </w:pict>
      </w:r>
    </w:p>
    <w:p>
      <w:pPr>
        <w:spacing w:before="102"/>
        <w:ind w:left="228" w:right="0" w:firstLine="0"/>
        <w:jc w:val="left"/>
        <w:rPr>
          <w:sz w:val="20"/>
        </w:rPr>
      </w:pPr>
      <w:r>
        <w:rPr>
          <w:rFonts w:ascii="Calibri" w:eastAsia="Calibri"/>
          <w:sz w:val="20"/>
          <w:vertAlign w:val="superscript"/>
        </w:rPr>
        <w:t>1</w:t>
      </w:r>
      <w:r>
        <w:rPr>
          <w:rFonts w:ascii="Calibri" w:eastAsia="Calibri"/>
          <w:sz w:val="20"/>
          <w:vertAlign w:val="baseline"/>
        </w:rPr>
        <w:t> </w:t>
      </w:r>
      <w:r>
        <w:rPr>
          <w:sz w:val="20"/>
          <w:vertAlign w:val="baseline"/>
        </w:rPr>
        <w:t>当年：指申报政策的上一年度。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54" w:top="1580" w:bottom="1140" w:left="1360" w:right="0"/>
        </w:sectPr>
      </w:pPr>
    </w:p>
    <w:p>
      <w:pPr>
        <w:pStyle w:val="BodyText"/>
        <w:ind w:left="0"/>
        <w:rPr>
          <w:sz w:val="20"/>
        </w:rPr>
      </w:pPr>
      <w:r>
        <w:rPr/>
        <w:pict>
          <v:shape style="position:absolute;margin-left:14.101753pt;margin-top:401.402161pt;width:576pt;height:48pt;mso-position-horizontal-relative:page;mso-position-vertical-relative:page;z-index:-252093440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11"/>
        <w:ind w:left="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326" w:lineRule="auto" w:before="57" w:after="0"/>
        <w:ind w:left="228" w:right="1410" w:firstLine="638"/>
        <w:jc w:val="both"/>
        <w:rPr>
          <w:sz w:val="30"/>
        </w:rPr>
      </w:pPr>
      <w:r>
        <w:rPr>
          <w:spacing w:val="-10"/>
          <w:sz w:val="32"/>
        </w:rPr>
        <w:t>达到《大兴区“高精尖”企业指数标准》中地均产出</w:t>
      </w:r>
      <w:r>
        <w:rPr>
          <w:sz w:val="32"/>
        </w:rPr>
        <w:t>（制</w:t>
      </w:r>
      <w:r>
        <w:rPr>
          <w:spacing w:val="-3"/>
          <w:sz w:val="32"/>
        </w:rPr>
        <w:t>造业</w:t>
      </w:r>
      <w:r>
        <w:rPr>
          <w:spacing w:val="-6"/>
          <w:sz w:val="32"/>
        </w:rPr>
        <w:t>）240</w:t>
      </w:r>
      <w:r>
        <w:rPr>
          <w:spacing w:val="-23"/>
          <w:sz w:val="32"/>
        </w:rPr>
        <w:t> 亿元</w:t>
      </w:r>
      <w:r>
        <w:rPr>
          <w:sz w:val="32"/>
        </w:rPr>
        <w:t>/</w:t>
      </w:r>
      <w:r>
        <w:rPr>
          <w:spacing w:val="-7"/>
          <w:sz w:val="32"/>
        </w:rPr>
        <w:t>平方公里、地均税收</w:t>
      </w:r>
      <w:r>
        <w:rPr>
          <w:sz w:val="32"/>
        </w:rPr>
        <w:t>（</w:t>
      </w:r>
      <w:r>
        <w:rPr>
          <w:spacing w:val="-2"/>
          <w:sz w:val="32"/>
        </w:rPr>
        <w:t>制造业</w:t>
      </w:r>
      <w:r>
        <w:rPr>
          <w:spacing w:val="-6"/>
          <w:sz w:val="32"/>
        </w:rPr>
        <w:t>）15</w:t>
      </w:r>
      <w:r>
        <w:rPr>
          <w:spacing w:val="-23"/>
          <w:sz w:val="32"/>
        </w:rPr>
        <w:t> 亿元</w:t>
      </w:r>
      <w:r>
        <w:rPr>
          <w:spacing w:val="-3"/>
          <w:sz w:val="32"/>
        </w:rPr>
        <w:t>/</w:t>
      </w:r>
      <w:r>
        <w:rPr>
          <w:spacing w:val="-2"/>
          <w:sz w:val="32"/>
        </w:rPr>
        <w:t>平方公</w:t>
      </w:r>
      <w:r>
        <w:rPr>
          <w:spacing w:val="-3"/>
          <w:sz w:val="32"/>
        </w:rPr>
        <w:t>里的企业；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326" w:lineRule="auto" w:before="7" w:after="0"/>
        <w:ind w:left="228" w:right="1410" w:firstLine="638"/>
        <w:jc w:val="both"/>
        <w:rPr>
          <w:sz w:val="30"/>
        </w:rPr>
      </w:pPr>
      <w:r>
        <w:rPr>
          <w:spacing w:val="-10"/>
          <w:sz w:val="32"/>
        </w:rPr>
        <w:t>达到《大兴区“高精尖”企业指数标准》中地均税收</w:t>
      </w:r>
      <w:r>
        <w:rPr>
          <w:sz w:val="32"/>
        </w:rPr>
        <w:t>（制</w:t>
      </w:r>
      <w:r>
        <w:rPr>
          <w:spacing w:val="-3"/>
          <w:sz w:val="32"/>
        </w:rPr>
        <w:t>造业</w:t>
      </w:r>
      <w:r>
        <w:rPr>
          <w:sz w:val="32"/>
        </w:rPr>
        <w:t>）15</w:t>
      </w:r>
      <w:r>
        <w:rPr>
          <w:spacing w:val="-30"/>
          <w:sz w:val="32"/>
        </w:rPr>
        <w:t> 亿元</w:t>
      </w:r>
      <w:r>
        <w:rPr>
          <w:sz w:val="32"/>
        </w:rPr>
        <w:t>/</w:t>
      </w:r>
      <w:r>
        <w:rPr>
          <w:spacing w:val="-4"/>
          <w:sz w:val="32"/>
        </w:rPr>
        <w:t>平方公里的产业园区；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328" w:lineRule="auto" w:before="3" w:after="0"/>
        <w:ind w:left="867" w:right="3273" w:firstLine="0"/>
        <w:jc w:val="left"/>
        <w:rPr>
          <w:sz w:val="30"/>
        </w:rPr>
      </w:pPr>
      <w:r>
        <w:rPr>
          <w:spacing w:val="-6"/>
          <w:sz w:val="32"/>
        </w:rPr>
        <w:t>由大兴区高精尖产业专班认定的优质企业。支持对象符合上述任意条件之一即可。</w:t>
      </w:r>
    </w:p>
    <w:p>
      <w:pPr>
        <w:pStyle w:val="BodyText"/>
        <w:spacing w:before="158"/>
        <w:ind w:left="1880"/>
        <w:rPr>
          <w:rFonts w:ascii="黑体" w:eastAsia="黑体" w:hint="eastAsia"/>
        </w:rPr>
      </w:pPr>
      <w:r>
        <w:rPr>
          <w:rFonts w:ascii="黑体" w:eastAsia="黑体" w:hint="eastAsia"/>
        </w:rPr>
        <w:t>第三章 支持内容、条件和申报材料要求</w:t>
      </w:r>
    </w:p>
    <w:p>
      <w:pPr>
        <w:pStyle w:val="BodyText"/>
        <w:spacing w:before="3"/>
        <w:ind w:left="0"/>
        <w:rPr>
          <w:rFonts w:ascii="黑体"/>
          <w:sz w:val="24"/>
        </w:rPr>
      </w:pPr>
    </w:p>
    <w:p>
      <w:pPr>
        <w:pStyle w:val="BodyText"/>
        <w:ind w:left="867"/>
      </w:pPr>
      <w:r>
        <w:rPr>
          <w:rFonts w:ascii="黑体" w:eastAsia="黑体" w:hint="eastAsia"/>
        </w:rPr>
        <w:t>第三条 </w:t>
      </w:r>
      <w:r>
        <w:rPr/>
        <w:t>支持优势产业主体快速发展</w:t>
      </w:r>
    </w:p>
    <w:p>
      <w:pPr>
        <w:pStyle w:val="BodyText"/>
        <w:spacing w:line="328" w:lineRule="auto" w:before="147"/>
        <w:ind w:right="1252" w:firstLine="638"/>
        <w:jc w:val="both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  <w:spacing w:val="-6"/>
        </w:rPr>
        <w:t>一</w:t>
      </w:r>
      <w:r>
        <w:rPr>
          <w:rFonts w:ascii="楷体_GB2312" w:eastAsia="楷体_GB2312" w:hint="eastAsia"/>
        </w:rPr>
        <w:t>）</w:t>
      </w:r>
      <w:r>
        <w:rPr>
          <w:rFonts w:ascii="楷体_GB2312" w:eastAsia="楷体_GB2312" w:hint="eastAsia"/>
          <w:spacing w:val="-6"/>
        </w:rPr>
        <w:t>支持重点企业、优质项目入区。对新注册在大兴区， </w:t>
      </w:r>
      <w:r>
        <w:rPr>
          <w:rFonts w:ascii="楷体_GB2312" w:eastAsia="楷体_GB2312" w:hint="eastAsia"/>
          <w:spacing w:val="-9"/>
        </w:rPr>
        <w:t>且注册后三年内任意一个年度区域综合贡献达到 </w:t>
      </w:r>
      <w:r>
        <w:rPr>
          <w:rFonts w:ascii="楷体_GB2312" w:eastAsia="楷体_GB2312" w:hint="eastAsia"/>
        </w:rPr>
        <w:t>1000</w:t>
      </w:r>
      <w:r>
        <w:rPr>
          <w:rFonts w:ascii="楷体_GB2312" w:eastAsia="楷体_GB2312" w:hint="eastAsia"/>
          <w:spacing w:val="-42"/>
        </w:rPr>
        <w:t> 万元</w:t>
      </w:r>
      <w:r>
        <w:rPr>
          <w:rFonts w:ascii="楷体_GB2312" w:eastAsia="楷体_GB2312" w:hint="eastAsia"/>
          <w:spacing w:val="-6"/>
        </w:rPr>
        <w:t>（</w:t>
      </w:r>
      <w:r>
        <w:rPr>
          <w:rFonts w:ascii="楷体_GB2312" w:eastAsia="楷体_GB2312" w:hint="eastAsia"/>
        </w:rPr>
        <w:t>含）</w:t>
      </w:r>
    </w:p>
    <w:p>
      <w:pPr>
        <w:pStyle w:val="BodyText"/>
        <w:spacing w:line="328" w:lineRule="auto"/>
        <w:ind w:right="1415"/>
        <w:rPr>
          <w:rFonts w:ascii="楷体_GB2312" w:eastAsia="楷体_GB2312" w:hint="eastAsia"/>
        </w:rPr>
      </w:pPr>
      <w:r>
        <w:rPr>
          <w:rFonts w:ascii="楷体_GB2312" w:eastAsia="楷体_GB2312" w:hint="eastAsia"/>
          <w:position w:val="1"/>
        </w:rPr>
        <w:t>以</w:t>
      </w:r>
      <w:r>
        <w:rPr>
          <w:rFonts w:ascii="楷体_GB2312" w:eastAsia="楷体_GB2312" w:hint="eastAsia"/>
          <w:spacing w:val="-6"/>
          <w:position w:val="1"/>
        </w:rPr>
        <w:t>上</w:t>
      </w:r>
      <w:r>
        <w:rPr>
          <w:rFonts w:ascii="楷体_GB2312" w:eastAsia="楷体_GB2312" w:hint="eastAsia"/>
          <w:position w:val="1"/>
        </w:rPr>
        <w:t>的高</w:t>
      </w:r>
      <w:r>
        <w:rPr>
          <w:rFonts w:ascii="楷体_GB2312" w:eastAsia="楷体_GB2312" w:hint="eastAsia"/>
          <w:spacing w:val="-6"/>
          <w:position w:val="1"/>
        </w:rPr>
        <w:t>精</w:t>
      </w:r>
      <w:r>
        <w:rPr>
          <w:rFonts w:ascii="楷体_GB2312" w:eastAsia="楷体_GB2312" w:hint="eastAsia"/>
          <w:position w:val="1"/>
        </w:rPr>
        <w:t>尖企</w:t>
      </w:r>
      <w:r>
        <w:rPr>
          <w:rFonts w:ascii="楷体_GB2312" w:eastAsia="楷体_GB2312" w:hint="eastAsia"/>
          <w:spacing w:val="-6"/>
          <w:position w:val="1"/>
        </w:rPr>
        <w:t>业</w:t>
      </w:r>
      <w:r>
        <w:rPr>
          <w:rFonts w:ascii="楷体_GB2312" w:eastAsia="楷体_GB2312" w:hint="eastAsia"/>
          <w:spacing w:val="-140"/>
          <w:position w:val="1"/>
        </w:rPr>
        <w:t>，</w:t>
      </w:r>
      <w:r>
        <w:rPr>
          <w:rFonts w:ascii="楷体_GB2312" w:eastAsia="楷体_GB2312" w:hint="eastAsia"/>
          <w:position w:val="1"/>
        </w:rPr>
        <w:t>按</w:t>
      </w:r>
      <w:r>
        <w:rPr>
          <w:rFonts w:ascii="楷体_GB2312" w:eastAsia="楷体_GB2312" w:hint="eastAsia"/>
          <w:spacing w:val="-6"/>
          <w:position w:val="1"/>
        </w:rPr>
        <w:t>照</w:t>
      </w:r>
      <w:r>
        <w:rPr>
          <w:rFonts w:ascii="楷体_GB2312" w:eastAsia="楷体_GB2312" w:hint="eastAsia"/>
          <w:position w:val="1"/>
        </w:rPr>
        <w:t>上年</w:t>
      </w:r>
      <w:r>
        <w:rPr>
          <w:rFonts w:ascii="楷体_GB2312" w:eastAsia="楷体_GB2312" w:hint="eastAsia"/>
          <w:spacing w:val="-6"/>
          <w:position w:val="1"/>
        </w:rPr>
        <w:t>度</w:t>
      </w:r>
      <w:r>
        <w:rPr>
          <w:rFonts w:ascii="楷体_GB2312" w:eastAsia="楷体_GB2312" w:hint="eastAsia"/>
          <w:position w:val="1"/>
        </w:rPr>
        <w:t>区域</w:t>
      </w:r>
      <w:r>
        <w:rPr>
          <w:rFonts w:ascii="楷体_GB2312" w:eastAsia="楷体_GB2312" w:hint="eastAsia"/>
          <w:spacing w:val="-6"/>
          <w:position w:val="1"/>
        </w:rPr>
        <w:t>综</w:t>
      </w:r>
      <w:r>
        <w:rPr>
          <w:rFonts w:ascii="楷体_GB2312" w:eastAsia="楷体_GB2312" w:hint="eastAsia"/>
          <w:position w:val="1"/>
        </w:rPr>
        <w:t>合贡</w:t>
      </w:r>
      <w:r>
        <w:rPr>
          <w:rFonts w:ascii="楷体_GB2312" w:eastAsia="楷体_GB2312" w:hint="eastAsia"/>
          <w:spacing w:val="-6"/>
          <w:position w:val="1"/>
        </w:rPr>
        <w:t>献</w:t>
      </w:r>
      <w:r>
        <w:rPr>
          <w:rFonts w:ascii="楷体_GB2312" w:eastAsia="楷体_GB2312" w:hint="eastAsia"/>
          <w:position w:val="1"/>
        </w:rPr>
        <w:t>总额的</w:t>
      </w:r>
      <w:r>
        <w:rPr>
          <w:rFonts w:ascii="楷体_GB2312" w:eastAsia="楷体_GB2312" w:hint="eastAsia"/>
          <w:spacing w:val="-49"/>
          <w:position w:val="1"/>
        </w:rPr>
        <w:t> </w:t>
      </w:r>
      <w:r>
        <w:rPr>
          <w:rFonts w:ascii="楷体_GB2312" w:eastAsia="楷体_GB2312" w:hint="eastAsia"/>
          <w:spacing w:val="4"/>
          <w:position w:val="1"/>
        </w:rPr>
        <w:t>40</w:t>
      </w:r>
      <w:r>
        <w:rPr>
          <w:rFonts w:ascii="楷体_GB2312" w:eastAsia="楷体_GB2312" w:hint="eastAsia"/>
          <w:spacing w:val="7"/>
          <w:w w:val="100"/>
        </w:rPr>
        <w:drawing>
          <wp:inline distT="0" distB="0" distL="0" distR="0">
            <wp:extent cx="85724" cy="15557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_GB2312" w:eastAsia="楷体_GB2312" w:hint="eastAsia"/>
          <w:spacing w:val="7"/>
          <w:w w:val="100"/>
        </w:rPr>
      </w:r>
      <w:r>
        <w:rPr>
          <w:rFonts w:ascii="楷体_GB2312" w:eastAsia="楷体_GB2312" w:hint="eastAsia"/>
          <w:spacing w:val="-3"/>
          <w:position w:val="1"/>
        </w:rPr>
        <w:t>,</w:t>
      </w:r>
      <w:r>
        <w:rPr>
          <w:rFonts w:ascii="楷体_GB2312" w:eastAsia="楷体_GB2312" w:hint="eastAsia"/>
          <w:position w:val="1"/>
        </w:rPr>
        <w:t>给</w:t>
      </w:r>
      <w:r>
        <w:rPr>
          <w:rFonts w:ascii="楷体_GB2312" w:eastAsia="楷体_GB2312" w:hint="eastAsia"/>
          <w:spacing w:val="-6"/>
          <w:position w:val="1"/>
        </w:rPr>
        <w:t>予</w:t>
      </w:r>
      <w:r>
        <w:rPr>
          <w:rFonts w:ascii="楷体_GB2312" w:eastAsia="楷体_GB2312" w:hint="eastAsia"/>
          <w:position w:val="1"/>
        </w:rPr>
        <w:t>享</w:t>
      </w:r>
      <w:r>
        <w:rPr>
          <w:rFonts w:ascii="楷体_GB2312" w:eastAsia="楷体_GB2312" w:hint="eastAsia"/>
          <w:spacing w:val="-6"/>
        </w:rPr>
        <w:t>受政策年度起连续三年的支持资金。</w:t>
      </w:r>
    </w:p>
    <w:p>
      <w:pPr>
        <w:pStyle w:val="ListParagraph"/>
        <w:numPr>
          <w:ilvl w:val="0"/>
          <w:numId w:val="2"/>
        </w:numPr>
        <w:tabs>
          <w:tab w:pos="1266" w:val="left" w:leader="none"/>
        </w:tabs>
        <w:spacing w:line="240" w:lineRule="auto" w:before="0" w:after="0"/>
        <w:ind w:left="1265" w:right="0" w:hanging="399"/>
        <w:jc w:val="left"/>
        <w:rPr>
          <w:sz w:val="32"/>
        </w:rPr>
      </w:pPr>
      <w:r>
        <w:rPr>
          <w:spacing w:val="-2"/>
          <w:sz w:val="32"/>
        </w:rPr>
        <w:t>须满足的条件</w:t>
      </w:r>
    </w:p>
    <w:p>
      <w:pPr>
        <w:pStyle w:val="BodyText"/>
        <w:spacing w:before="146"/>
        <w:ind w:left="0" w:right="1410"/>
        <w:jc w:val="right"/>
      </w:pPr>
      <w:r>
        <w:rPr>
          <w:rFonts w:ascii="Times New Roman" w:eastAsia="Times New Roman"/>
        </w:rPr>
        <w:t>2018</w:t>
      </w:r>
      <w:r>
        <w:rPr>
          <w:rFonts w:ascii="Times New Roman" w:eastAsia="Times New Roman"/>
          <w:spacing w:val="6"/>
        </w:rPr>
        <w:t> </w:t>
      </w:r>
      <w:r>
        <w:rPr>
          <w:spacing w:val="-39"/>
        </w:rPr>
        <w:t>年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6"/>
        </w:rPr>
        <w:t> </w:t>
      </w:r>
      <w:r>
        <w:rPr>
          <w:spacing w:val="-36"/>
        </w:rPr>
        <w:t>月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7"/>
        </w:rPr>
        <w:t> </w:t>
      </w:r>
      <w:r>
        <w:rPr>
          <w:spacing w:val="-11"/>
        </w:rPr>
        <w:t>日之后新注册</w:t>
      </w:r>
      <w:r>
        <w:rPr/>
        <w:t>（</w:t>
      </w:r>
      <w:r>
        <w:rPr>
          <w:spacing w:val="-3"/>
        </w:rPr>
        <w:t>含新迁入</w:t>
      </w:r>
      <w:r>
        <w:rPr>
          <w:spacing w:val="-49"/>
        </w:rPr>
        <w:t>）</w:t>
      </w:r>
      <w:r>
        <w:rPr>
          <w:spacing w:val="-8"/>
        </w:rPr>
        <w:t>在大兴区，且在注</w:t>
      </w:r>
    </w:p>
    <w:p>
      <w:pPr>
        <w:pStyle w:val="BodyText"/>
        <w:spacing w:before="147"/>
        <w:ind w:left="0" w:right="1413"/>
        <w:jc w:val="right"/>
        <w:rPr>
          <w:rFonts w:ascii="Times New Roman" w:eastAsia="Times New Roman"/>
        </w:rPr>
      </w:pPr>
      <w:r>
        <w:rPr>
          <w:spacing w:val="4"/>
        </w:rPr>
        <w:t>册（</w:t>
      </w:r>
      <w:r>
        <w:rPr>
          <w:spacing w:val="6"/>
        </w:rPr>
        <w:t>迁入</w:t>
      </w:r>
      <w:r>
        <w:rPr>
          <w:spacing w:val="4"/>
        </w:rPr>
        <w:t>）</w:t>
      </w:r>
      <w:r>
        <w:rPr/>
        <w:t>年度起三年内任意一个年度区域综合贡献达到 </w:t>
      </w:r>
      <w:r>
        <w:rPr>
          <w:rFonts w:ascii="Times New Roman" w:eastAsia="Times New Roman"/>
        </w:rPr>
        <w:t>1000</w:t>
      </w:r>
    </w:p>
    <w:p>
      <w:pPr>
        <w:pStyle w:val="BodyText"/>
        <w:spacing w:line="328" w:lineRule="auto" w:before="152"/>
        <w:ind w:right="1410"/>
      </w:pPr>
      <w:r>
        <w:rPr>
          <w:spacing w:val="-13"/>
        </w:rPr>
        <w:t>万元</w:t>
      </w:r>
      <w:r>
        <w:rPr>
          <w:spacing w:val="-6"/>
        </w:rPr>
        <w:t>（</w:t>
      </w:r>
      <w:r>
        <w:rPr/>
        <w:t>含</w:t>
      </w:r>
      <w:r>
        <w:rPr>
          <w:spacing w:val="-20"/>
        </w:rPr>
        <w:t>）</w:t>
      </w:r>
      <w:r>
        <w:rPr>
          <w:spacing w:val="-10"/>
        </w:rPr>
        <w:t>以上，并承诺在领取支持资金后至少连续 </w:t>
      </w:r>
      <w:r>
        <w:rPr>
          <w:rFonts w:ascii="Times New Roman" w:eastAsia="Times New Roman"/>
        </w:rPr>
        <w:t>5 </w:t>
      </w:r>
      <w:r>
        <w:rPr>
          <w:spacing w:val="-2"/>
        </w:rPr>
        <w:t>年在大兴</w:t>
      </w:r>
      <w:r>
        <w:rPr>
          <w:spacing w:val="-6"/>
        </w:rPr>
        <w:t>区纳税、入统的高精尖企业、优质企业。</w:t>
      </w:r>
    </w:p>
    <w:p>
      <w:pPr>
        <w:pStyle w:val="ListParagraph"/>
        <w:numPr>
          <w:ilvl w:val="0"/>
          <w:numId w:val="2"/>
        </w:numPr>
        <w:tabs>
          <w:tab w:pos="1266" w:val="left" w:leader="none"/>
        </w:tabs>
        <w:spacing w:line="328" w:lineRule="auto" w:before="0" w:after="0"/>
        <w:ind w:left="867" w:right="7358" w:firstLine="0"/>
        <w:jc w:val="left"/>
        <w:rPr>
          <w:sz w:val="32"/>
        </w:rPr>
      </w:pPr>
      <w:r>
        <w:rPr>
          <w:spacing w:val="-5"/>
          <w:sz w:val="32"/>
        </w:rPr>
        <w:t>须提供的材料</w:t>
      </w:r>
      <w:r>
        <w:rPr>
          <w:sz w:val="32"/>
        </w:rPr>
        <w:t>(1</w:t>
      </w:r>
      <w:r>
        <w:rPr>
          <w:spacing w:val="-2"/>
          <w:sz w:val="32"/>
        </w:rPr>
        <w:t>)申报表；</w:t>
      </w:r>
    </w:p>
    <w:p>
      <w:pPr>
        <w:pStyle w:val="BodyText"/>
        <w:spacing w:line="326" w:lineRule="auto"/>
        <w:ind w:left="867" w:right="5983"/>
      </w:pPr>
      <w:r>
        <w:rPr/>
        <w:t>(2)企业营业执照复印件； (3)企业承诺书；</w:t>
      </w:r>
    </w:p>
    <w:p>
      <w:pPr>
        <w:pStyle w:val="ListParagraph"/>
        <w:numPr>
          <w:ilvl w:val="0"/>
          <w:numId w:val="3"/>
        </w:numPr>
        <w:tabs>
          <w:tab w:pos="1351" w:val="left" w:leader="none"/>
        </w:tabs>
        <w:spacing w:line="240" w:lineRule="auto" w:before="0" w:after="0"/>
        <w:ind w:left="1350" w:right="0" w:hanging="484"/>
        <w:jc w:val="left"/>
        <w:rPr>
          <w:sz w:val="32"/>
        </w:rPr>
      </w:pPr>
      <w:r>
        <w:rPr>
          <w:spacing w:val="-6"/>
          <w:sz w:val="32"/>
        </w:rPr>
        <w:t>上年度完税证明、上年度统计报表；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954" w:top="1580" w:bottom="1140" w:left="1360" w:right="0"/>
        </w:sectPr>
      </w:pPr>
    </w:p>
    <w:p>
      <w:pPr>
        <w:pStyle w:val="BodyText"/>
        <w:ind w:left="0"/>
        <w:rPr>
          <w:sz w:val="20"/>
        </w:rPr>
      </w:pPr>
      <w:r>
        <w:rPr/>
        <w:pict>
          <v:shape style="position:absolute;margin-left:14.101753pt;margin-top:401.402161pt;width:576pt;height:48pt;mso-position-horizontal-relative:page;mso-position-vertical-relative:page;z-index:-252092416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11"/>
        <w:ind w:left="0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351" w:val="left" w:leader="none"/>
        </w:tabs>
        <w:spacing w:line="240" w:lineRule="auto" w:before="57" w:after="0"/>
        <w:ind w:left="1350" w:right="0" w:hanging="484"/>
        <w:jc w:val="left"/>
        <w:rPr>
          <w:sz w:val="32"/>
        </w:rPr>
      </w:pPr>
      <w:r>
        <w:rPr>
          <w:spacing w:val="-3"/>
          <w:sz w:val="32"/>
        </w:rPr>
        <w:t>其他有关材料。</w:t>
      </w:r>
    </w:p>
    <w:p>
      <w:pPr>
        <w:pStyle w:val="BodyText"/>
        <w:spacing w:line="326" w:lineRule="auto" w:before="147"/>
        <w:ind w:right="1410" w:firstLine="638"/>
        <w:jc w:val="both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  <w:spacing w:val="-6"/>
        </w:rPr>
        <w:t>二</w:t>
      </w:r>
      <w:r>
        <w:rPr>
          <w:rFonts w:ascii="楷体_GB2312" w:eastAsia="楷体_GB2312" w:hint="eastAsia"/>
          <w:spacing w:val="-30"/>
        </w:rPr>
        <w:t>）</w:t>
      </w:r>
      <w:r>
        <w:rPr>
          <w:rFonts w:ascii="楷体_GB2312" w:eastAsia="楷体_GB2312" w:hint="eastAsia"/>
          <w:spacing w:val="-8"/>
        </w:rPr>
        <w:t>支持高精尖产业聚集发展。对在经认定的区内创新中</w:t>
      </w:r>
      <w:r>
        <w:rPr>
          <w:rFonts w:ascii="楷体_GB2312" w:eastAsia="楷体_GB2312" w:hint="eastAsia"/>
          <w:spacing w:val="-12"/>
        </w:rPr>
        <w:t>心、加速器、孵化器、标准厂房租赁 </w:t>
      </w:r>
      <w:r>
        <w:rPr>
          <w:rFonts w:ascii="楷体_GB2312" w:eastAsia="楷体_GB2312" w:hint="eastAsia"/>
        </w:rPr>
        <w:t>500</w:t>
      </w:r>
      <w:r>
        <w:rPr>
          <w:rFonts w:ascii="楷体_GB2312" w:eastAsia="楷体_GB2312" w:hint="eastAsia"/>
          <w:spacing w:val="-22"/>
        </w:rPr>
        <w:t> 平方米</w:t>
      </w:r>
      <w:r>
        <w:rPr>
          <w:rFonts w:ascii="楷体_GB2312" w:eastAsia="楷体_GB2312" w:hint="eastAsia"/>
        </w:rPr>
        <w:t>（含</w:t>
      </w:r>
      <w:r>
        <w:rPr>
          <w:rFonts w:ascii="楷体_GB2312" w:eastAsia="楷体_GB2312" w:hint="eastAsia"/>
          <w:spacing w:val="-15"/>
        </w:rPr>
        <w:t>）</w:t>
      </w:r>
      <w:r>
        <w:rPr>
          <w:rFonts w:ascii="楷体_GB2312" w:eastAsia="楷体_GB2312" w:hint="eastAsia"/>
          <w:spacing w:val="-2"/>
        </w:rPr>
        <w:t>以上面积</w:t>
      </w:r>
      <w:r>
        <w:rPr>
          <w:rFonts w:ascii="楷体_GB2312" w:eastAsia="楷体_GB2312" w:hint="eastAsia"/>
          <w:spacing w:val="-10"/>
        </w:rPr>
        <w:t>生产用房、办公用房的高精尖企业，按照上年度实际支付房租总</w:t>
      </w:r>
      <w:r>
        <w:rPr>
          <w:rFonts w:ascii="楷体_GB2312" w:eastAsia="楷体_GB2312" w:hint="eastAsia"/>
          <w:spacing w:val="-10"/>
          <w:position w:val="1"/>
        </w:rPr>
        <w:t>额的</w:t>
      </w:r>
      <w:r>
        <w:rPr>
          <w:rFonts w:ascii="楷体_GB2312" w:eastAsia="楷体_GB2312" w:hint="eastAsia"/>
          <w:spacing w:val="-78"/>
          <w:position w:val="1"/>
        </w:rPr>
        <w:t> </w:t>
      </w:r>
      <w:r>
        <w:rPr>
          <w:rFonts w:ascii="楷体_GB2312" w:eastAsia="楷体_GB2312" w:hint="eastAsia"/>
          <w:spacing w:val="4"/>
          <w:position w:val="1"/>
        </w:rPr>
        <w:t>50</w:t>
      </w:r>
      <w:r>
        <w:rPr>
          <w:rFonts w:ascii="楷体_GB2312" w:eastAsia="楷体_GB2312" w:hint="eastAsia"/>
          <w:spacing w:val="12"/>
          <w:w w:val="100"/>
        </w:rPr>
        <w:drawing>
          <wp:inline distT="0" distB="0" distL="0" distR="0">
            <wp:extent cx="85724" cy="155574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_GB2312" w:eastAsia="楷体_GB2312" w:hint="eastAsia"/>
          <w:spacing w:val="12"/>
          <w:w w:val="100"/>
        </w:rPr>
      </w:r>
      <w:r>
        <w:rPr>
          <w:rFonts w:ascii="楷体_GB2312" w:eastAsia="楷体_GB2312" w:hint="eastAsia"/>
          <w:position w:val="1"/>
        </w:rPr>
        <w:t>，</w:t>
      </w:r>
      <w:r>
        <w:rPr>
          <w:rFonts w:ascii="楷体_GB2312" w:eastAsia="楷体_GB2312" w:hint="eastAsia"/>
          <w:spacing w:val="-6"/>
          <w:position w:val="1"/>
        </w:rPr>
        <w:t>给</w:t>
      </w:r>
      <w:r>
        <w:rPr>
          <w:rFonts w:ascii="楷体_GB2312" w:eastAsia="楷体_GB2312" w:hint="eastAsia"/>
          <w:position w:val="1"/>
        </w:rPr>
        <w:t>予最</w:t>
      </w:r>
      <w:r>
        <w:rPr>
          <w:rFonts w:ascii="楷体_GB2312" w:eastAsia="楷体_GB2312" w:hint="eastAsia"/>
          <w:spacing w:val="-6"/>
          <w:position w:val="1"/>
        </w:rPr>
        <w:t>高</w:t>
      </w:r>
      <w:r>
        <w:rPr>
          <w:rFonts w:ascii="楷体_GB2312" w:eastAsia="楷体_GB2312" w:hint="eastAsia"/>
          <w:position w:val="1"/>
        </w:rPr>
        <w:t>不超</w:t>
      </w:r>
      <w:r>
        <w:rPr>
          <w:rFonts w:ascii="楷体_GB2312" w:eastAsia="楷体_GB2312" w:hint="eastAsia"/>
          <w:spacing w:val="-6"/>
          <w:position w:val="1"/>
        </w:rPr>
        <w:t>过</w:t>
      </w:r>
      <w:r>
        <w:rPr>
          <w:rFonts w:ascii="楷体_GB2312" w:eastAsia="楷体_GB2312" w:hint="eastAsia"/>
          <w:position w:val="1"/>
        </w:rPr>
        <w:t>三年</w:t>
      </w:r>
      <w:r>
        <w:rPr>
          <w:rFonts w:ascii="楷体_GB2312" w:eastAsia="楷体_GB2312" w:hint="eastAsia"/>
          <w:spacing w:val="-6"/>
          <w:position w:val="1"/>
        </w:rPr>
        <w:t>的</w:t>
      </w:r>
      <w:r>
        <w:rPr>
          <w:rFonts w:ascii="楷体_GB2312" w:eastAsia="楷体_GB2312" w:hint="eastAsia"/>
          <w:position w:val="1"/>
        </w:rPr>
        <w:t>支持</w:t>
      </w:r>
      <w:r>
        <w:rPr>
          <w:rFonts w:ascii="楷体_GB2312" w:eastAsia="楷体_GB2312" w:hint="eastAsia"/>
          <w:spacing w:val="-6"/>
          <w:position w:val="1"/>
        </w:rPr>
        <w:t>资</w:t>
      </w:r>
      <w:r>
        <w:rPr>
          <w:rFonts w:ascii="楷体_GB2312" w:eastAsia="楷体_GB2312" w:hint="eastAsia"/>
          <w:position w:val="1"/>
        </w:rPr>
        <w:t>金。</w:t>
      </w:r>
    </w:p>
    <w:p>
      <w:pPr>
        <w:pStyle w:val="ListParagraph"/>
        <w:numPr>
          <w:ilvl w:val="0"/>
          <w:numId w:val="4"/>
        </w:numPr>
        <w:tabs>
          <w:tab w:pos="1266" w:val="left" w:leader="none"/>
        </w:tabs>
        <w:spacing w:line="240" w:lineRule="auto" w:before="11" w:after="0"/>
        <w:ind w:left="1265" w:right="0" w:hanging="399"/>
        <w:jc w:val="both"/>
        <w:rPr>
          <w:sz w:val="32"/>
        </w:rPr>
      </w:pPr>
      <w:r>
        <w:rPr>
          <w:spacing w:val="-2"/>
          <w:sz w:val="32"/>
        </w:rPr>
        <w:t>须满足的条件</w:t>
      </w:r>
    </w:p>
    <w:p>
      <w:pPr>
        <w:pStyle w:val="BodyText"/>
        <w:spacing w:line="326" w:lineRule="auto" w:before="151"/>
        <w:ind w:right="1410" w:firstLine="638"/>
        <w:jc w:val="both"/>
      </w:pPr>
      <w:r>
        <w:rPr>
          <w:spacing w:val="-9"/>
        </w:rPr>
        <w:t>入驻到经认定的创新中心、加速器、孵化器、标准厂房，实</w:t>
      </w:r>
      <w:r>
        <w:rPr>
          <w:spacing w:val="-11"/>
        </w:rPr>
        <w:t>际合法租赁生产用房、办公用房面积在 </w:t>
      </w:r>
      <w:r>
        <w:rPr/>
        <w:t>500</w:t>
      </w:r>
      <w:r>
        <w:rPr>
          <w:spacing w:val="-23"/>
        </w:rPr>
        <w:t> 平方米</w:t>
      </w:r>
      <w:r>
        <w:rPr>
          <w:spacing w:val="-6"/>
        </w:rPr>
        <w:t>（</w:t>
      </w:r>
      <w:r>
        <w:rPr/>
        <w:t>含</w:t>
      </w:r>
      <w:r>
        <w:rPr>
          <w:spacing w:val="-25"/>
        </w:rPr>
        <w:t>）</w:t>
      </w:r>
      <w:r>
        <w:rPr>
          <w:spacing w:val="-2"/>
        </w:rPr>
        <w:t>以上的</w:t>
      </w:r>
      <w:r>
        <w:rPr>
          <w:spacing w:val="-4"/>
        </w:rPr>
        <w:t>高精尖企业。</w:t>
      </w:r>
    </w:p>
    <w:p>
      <w:pPr>
        <w:pStyle w:val="ListParagraph"/>
        <w:numPr>
          <w:ilvl w:val="0"/>
          <w:numId w:val="4"/>
        </w:numPr>
        <w:tabs>
          <w:tab w:pos="1266" w:val="left" w:leader="none"/>
        </w:tabs>
        <w:spacing w:line="326" w:lineRule="auto" w:before="8" w:after="0"/>
        <w:ind w:left="867" w:right="7353" w:firstLine="0"/>
        <w:jc w:val="left"/>
        <w:rPr>
          <w:sz w:val="32"/>
        </w:rPr>
      </w:pPr>
      <w:r>
        <w:rPr>
          <w:spacing w:val="-4"/>
          <w:sz w:val="32"/>
        </w:rPr>
        <w:t>须提供的材料</w:t>
      </w:r>
      <w:r>
        <w:rPr>
          <w:sz w:val="32"/>
        </w:rPr>
        <w:t>(1</w:t>
      </w:r>
      <w:r>
        <w:rPr>
          <w:spacing w:val="-2"/>
          <w:sz w:val="32"/>
        </w:rPr>
        <w:t>)申报表；</w:t>
      </w:r>
    </w:p>
    <w:p>
      <w:pPr>
        <w:pStyle w:val="ListParagraph"/>
        <w:numPr>
          <w:ilvl w:val="0"/>
          <w:numId w:val="5"/>
        </w:numPr>
        <w:tabs>
          <w:tab w:pos="1351" w:val="left" w:leader="none"/>
        </w:tabs>
        <w:spacing w:line="240" w:lineRule="auto" w:before="3" w:after="0"/>
        <w:ind w:left="1350" w:right="0" w:hanging="484"/>
        <w:jc w:val="left"/>
        <w:rPr>
          <w:sz w:val="32"/>
        </w:rPr>
      </w:pPr>
      <w:r>
        <w:rPr>
          <w:spacing w:val="-4"/>
          <w:sz w:val="32"/>
        </w:rPr>
        <w:t>企业营业执照复印件；</w:t>
      </w:r>
    </w:p>
    <w:p>
      <w:pPr>
        <w:pStyle w:val="ListParagraph"/>
        <w:numPr>
          <w:ilvl w:val="0"/>
          <w:numId w:val="5"/>
        </w:numPr>
        <w:tabs>
          <w:tab w:pos="1352" w:val="left" w:leader="none"/>
        </w:tabs>
        <w:spacing w:line="326" w:lineRule="auto" w:before="151" w:after="0"/>
        <w:ind w:left="228" w:right="1410" w:firstLine="638"/>
        <w:jc w:val="both"/>
        <w:rPr>
          <w:sz w:val="32"/>
        </w:rPr>
      </w:pPr>
      <w:r>
        <w:rPr>
          <w:sz w:val="32"/>
        </w:rPr>
        <w:t>经国家级、市级、区级相关部门或属地政府、园区管委</w:t>
      </w:r>
      <w:r>
        <w:rPr>
          <w:spacing w:val="-9"/>
          <w:sz w:val="32"/>
        </w:rPr>
        <w:t>会认定、备案的创新中心、加速器、孵化器、标准厂房证明复印件；</w:t>
      </w:r>
    </w:p>
    <w:p>
      <w:pPr>
        <w:pStyle w:val="ListParagraph"/>
        <w:numPr>
          <w:ilvl w:val="0"/>
          <w:numId w:val="5"/>
        </w:numPr>
        <w:tabs>
          <w:tab w:pos="1352" w:val="left" w:leader="none"/>
        </w:tabs>
        <w:spacing w:line="326" w:lineRule="auto" w:before="8" w:after="0"/>
        <w:ind w:left="228" w:right="1410" w:firstLine="638"/>
        <w:jc w:val="both"/>
        <w:rPr>
          <w:sz w:val="32"/>
        </w:rPr>
      </w:pPr>
      <w:r>
        <w:rPr>
          <w:sz w:val="32"/>
        </w:rPr>
        <w:t>企业与所在创新中心、加速器、孵化器、标准厂房的房</w:t>
      </w:r>
      <w:r>
        <w:rPr>
          <w:spacing w:val="-10"/>
          <w:sz w:val="32"/>
        </w:rPr>
        <w:t>屋租赁合同复印件，以及企业上年度足额缴纳租金的合法发票复</w:t>
      </w:r>
      <w:r>
        <w:rPr>
          <w:spacing w:val="-6"/>
          <w:sz w:val="32"/>
        </w:rPr>
        <w:t>印件；</w:t>
      </w:r>
    </w:p>
    <w:p>
      <w:pPr>
        <w:pStyle w:val="ListParagraph"/>
        <w:numPr>
          <w:ilvl w:val="0"/>
          <w:numId w:val="5"/>
        </w:numPr>
        <w:tabs>
          <w:tab w:pos="1351" w:val="left" w:leader="none"/>
        </w:tabs>
        <w:spacing w:line="240" w:lineRule="auto" w:before="7" w:after="0"/>
        <w:ind w:left="1350" w:right="0" w:hanging="484"/>
        <w:jc w:val="left"/>
        <w:rPr>
          <w:sz w:val="32"/>
        </w:rPr>
      </w:pPr>
      <w:r>
        <w:rPr>
          <w:spacing w:val="-3"/>
          <w:sz w:val="32"/>
        </w:rPr>
        <w:t>其他有关材料。</w:t>
      </w:r>
    </w:p>
    <w:p>
      <w:pPr>
        <w:pStyle w:val="BodyText"/>
        <w:spacing w:line="331" w:lineRule="auto" w:before="147"/>
        <w:ind w:right="1276" w:firstLine="638"/>
        <w:jc w:val="both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  <w:spacing w:val="-6"/>
        </w:rPr>
        <w:t>三</w:t>
      </w:r>
      <w:r>
        <w:rPr>
          <w:rFonts w:ascii="楷体_GB2312" w:eastAsia="楷体_GB2312" w:hint="eastAsia"/>
          <w:spacing w:val="-30"/>
        </w:rPr>
        <w:t>）</w:t>
      </w:r>
      <w:r>
        <w:rPr>
          <w:rFonts w:ascii="楷体_GB2312" w:eastAsia="楷体_GB2312" w:hint="eastAsia"/>
          <w:spacing w:val="-8"/>
        </w:rPr>
        <w:t>支持高精尖龙头企业发展。对上年度区域综合贡献排名前</w:t>
      </w:r>
      <w:r>
        <w:rPr>
          <w:rFonts w:ascii="楷体_GB2312" w:eastAsia="楷体_GB2312" w:hint="eastAsia"/>
          <w:spacing w:val="-73"/>
        </w:rPr>
        <w:t> </w:t>
      </w:r>
      <w:r>
        <w:rPr>
          <w:rFonts w:ascii="楷体_GB2312" w:eastAsia="楷体_GB2312" w:hint="eastAsia"/>
        </w:rPr>
        <w:t>10</w:t>
      </w:r>
      <w:r>
        <w:rPr>
          <w:rFonts w:ascii="楷体_GB2312" w:eastAsia="楷体_GB2312" w:hint="eastAsia"/>
          <w:spacing w:val="-70"/>
        </w:rPr>
        <w:t> </w:t>
      </w:r>
      <w:r>
        <w:rPr>
          <w:rFonts w:ascii="楷体_GB2312" w:eastAsia="楷体_GB2312" w:hint="eastAsia"/>
        </w:rPr>
        <w:t>名</w:t>
      </w:r>
      <w:r>
        <w:rPr>
          <w:rFonts w:ascii="楷体_GB2312" w:eastAsia="楷体_GB2312" w:hint="eastAsia"/>
          <w:spacing w:val="-6"/>
        </w:rPr>
        <w:t>的</w:t>
      </w:r>
      <w:r>
        <w:rPr>
          <w:rFonts w:ascii="楷体_GB2312" w:eastAsia="楷体_GB2312" w:hint="eastAsia"/>
        </w:rPr>
        <w:t>高精</w:t>
      </w:r>
      <w:r>
        <w:rPr>
          <w:rFonts w:ascii="楷体_GB2312" w:eastAsia="楷体_GB2312" w:hint="eastAsia"/>
          <w:spacing w:val="-6"/>
        </w:rPr>
        <w:t>尖</w:t>
      </w:r>
      <w:r>
        <w:rPr>
          <w:rFonts w:ascii="楷体_GB2312" w:eastAsia="楷体_GB2312" w:hint="eastAsia"/>
        </w:rPr>
        <w:t>企业</w:t>
      </w:r>
      <w:r>
        <w:rPr>
          <w:rFonts w:ascii="楷体_GB2312" w:eastAsia="楷体_GB2312" w:hint="eastAsia"/>
          <w:spacing w:val="-6"/>
        </w:rPr>
        <w:t>，</w:t>
      </w:r>
      <w:r>
        <w:rPr>
          <w:rFonts w:ascii="楷体_GB2312" w:eastAsia="楷体_GB2312" w:hint="eastAsia"/>
        </w:rPr>
        <w:t>按照</w:t>
      </w:r>
      <w:r>
        <w:rPr>
          <w:rFonts w:ascii="楷体_GB2312" w:eastAsia="楷体_GB2312" w:hint="eastAsia"/>
          <w:spacing w:val="-6"/>
        </w:rPr>
        <w:t>上</w:t>
      </w:r>
      <w:r>
        <w:rPr>
          <w:rFonts w:ascii="楷体_GB2312" w:eastAsia="楷体_GB2312" w:hint="eastAsia"/>
        </w:rPr>
        <w:t>年度</w:t>
      </w:r>
      <w:r>
        <w:rPr>
          <w:rFonts w:ascii="楷体_GB2312" w:eastAsia="楷体_GB2312" w:hint="eastAsia"/>
          <w:spacing w:val="-6"/>
        </w:rPr>
        <w:t>区</w:t>
      </w:r>
      <w:r>
        <w:rPr>
          <w:rFonts w:ascii="楷体_GB2312" w:eastAsia="楷体_GB2312" w:hint="eastAsia"/>
        </w:rPr>
        <w:t>域综</w:t>
      </w:r>
      <w:r>
        <w:rPr>
          <w:rFonts w:ascii="楷体_GB2312" w:eastAsia="楷体_GB2312" w:hint="eastAsia"/>
          <w:spacing w:val="-6"/>
        </w:rPr>
        <w:t>合</w:t>
      </w:r>
      <w:r>
        <w:rPr>
          <w:rFonts w:ascii="楷体_GB2312" w:eastAsia="楷体_GB2312" w:hint="eastAsia"/>
        </w:rPr>
        <w:t>贡献</w:t>
      </w:r>
      <w:r>
        <w:rPr>
          <w:rFonts w:ascii="楷体_GB2312" w:eastAsia="楷体_GB2312" w:hint="eastAsia"/>
          <w:spacing w:val="-6"/>
        </w:rPr>
        <w:t>总</w:t>
      </w:r>
      <w:r>
        <w:rPr>
          <w:rFonts w:ascii="楷体_GB2312" w:eastAsia="楷体_GB2312" w:hint="eastAsia"/>
        </w:rPr>
        <w:t>额的</w:t>
      </w:r>
      <w:r>
        <w:rPr>
          <w:rFonts w:ascii="楷体_GB2312" w:eastAsia="楷体_GB2312" w:hint="eastAsia"/>
          <w:spacing w:val="-72"/>
        </w:rPr>
        <w:t> </w:t>
      </w:r>
      <w:r>
        <w:rPr>
          <w:rFonts w:ascii="楷体_GB2312" w:eastAsia="楷体_GB2312" w:hint="eastAsia"/>
          <w:spacing w:val="4"/>
        </w:rPr>
        <w:t>10</w:t>
      </w:r>
      <w:r>
        <w:rPr>
          <w:rFonts w:ascii="楷体_GB2312" w:eastAsia="楷体_GB2312" w:hint="eastAsia"/>
          <w:spacing w:val="7"/>
          <w:w w:val="100"/>
        </w:rPr>
        <w:drawing>
          <wp:inline distT="0" distB="0" distL="0" distR="0">
            <wp:extent cx="85724" cy="155574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_GB2312" w:eastAsia="楷体_GB2312" w:hint="eastAsia"/>
          <w:spacing w:val="7"/>
          <w:w w:val="100"/>
        </w:rPr>
      </w:r>
      <w:r>
        <w:rPr>
          <w:rFonts w:ascii="楷体_GB2312" w:eastAsia="楷体_GB2312" w:hint="eastAsia"/>
        </w:rPr>
        <w:t>，</w:t>
      </w:r>
    </w:p>
    <w:p>
      <w:pPr>
        <w:pStyle w:val="BodyText"/>
        <w:spacing w:line="402" w:lineRule="exac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给予最高不超过 1000 万元的支持资金。</w:t>
      </w:r>
    </w:p>
    <w:p>
      <w:pPr>
        <w:pStyle w:val="ListParagraph"/>
        <w:numPr>
          <w:ilvl w:val="0"/>
          <w:numId w:val="6"/>
        </w:numPr>
        <w:tabs>
          <w:tab w:pos="1266" w:val="left" w:leader="none"/>
        </w:tabs>
        <w:spacing w:line="240" w:lineRule="auto" w:before="146" w:after="0"/>
        <w:ind w:left="1265" w:right="0" w:hanging="399"/>
        <w:jc w:val="both"/>
        <w:rPr>
          <w:sz w:val="32"/>
        </w:rPr>
      </w:pPr>
      <w:r>
        <w:rPr>
          <w:spacing w:val="-2"/>
          <w:sz w:val="32"/>
        </w:rPr>
        <w:t>须满足的条件</w:t>
      </w:r>
    </w:p>
    <w:p>
      <w:pPr>
        <w:spacing w:after="0" w:line="240" w:lineRule="auto"/>
        <w:jc w:val="both"/>
        <w:rPr>
          <w:sz w:val="32"/>
        </w:rPr>
        <w:sectPr>
          <w:pgSz w:w="11910" w:h="16840"/>
          <w:pgMar w:header="0" w:footer="954" w:top="1580" w:bottom="1140" w:left="1360" w:right="0"/>
        </w:sectPr>
      </w:pPr>
    </w:p>
    <w:p>
      <w:pPr>
        <w:pStyle w:val="BodyText"/>
        <w:ind w:left="0"/>
        <w:rPr>
          <w:sz w:val="20"/>
        </w:rPr>
      </w:pPr>
      <w:r>
        <w:rPr/>
        <w:pict>
          <v:shape style="position:absolute;margin-left:14.101753pt;margin-top:401.402161pt;width:576pt;height:48pt;mso-position-horizontal-relative:page;mso-position-vertical-relative:page;z-index:-252091392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11"/>
        <w:ind w:left="0"/>
        <w:rPr>
          <w:sz w:val="15"/>
        </w:rPr>
      </w:pPr>
    </w:p>
    <w:p>
      <w:pPr>
        <w:pStyle w:val="BodyText"/>
        <w:spacing w:line="328" w:lineRule="auto" w:before="57"/>
        <w:ind w:right="1252" w:firstLine="638"/>
      </w:pPr>
      <w:r>
        <w:rPr>
          <w:spacing w:val="7"/>
        </w:rPr>
        <w:t>上年度区域综合贡献排名情况由区经信局会同相关部门提</w:t>
      </w:r>
      <w:r>
        <w:rPr>
          <w:spacing w:val="-9"/>
        </w:rPr>
        <w:t>供，并通知企业自愿申报；如企业放弃申报，不再依次顺延。本</w:t>
      </w:r>
      <w:r>
        <w:rPr>
          <w:spacing w:val="-16"/>
        </w:rPr>
        <w:t>项政策与《暂行办法》的第三章第三条第</w:t>
      </w:r>
      <w:r>
        <w:rPr>
          <w:spacing w:val="-6"/>
        </w:rPr>
        <w:t>（</w:t>
      </w:r>
      <w:r>
        <w:rPr/>
        <w:t>一</w:t>
      </w:r>
      <w:r>
        <w:rPr>
          <w:spacing w:val="-58"/>
        </w:rPr>
        <w:t>）</w:t>
      </w:r>
      <w:r>
        <w:rPr>
          <w:spacing w:val="-3"/>
        </w:rPr>
        <w:t>项均符合条件的， </w:t>
      </w:r>
      <w:r>
        <w:rPr>
          <w:spacing w:val="-6"/>
        </w:rPr>
        <w:t>在同一年度内可任选其一申报，不予重复支持。</w:t>
      </w:r>
    </w:p>
    <w:p>
      <w:pPr>
        <w:pStyle w:val="ListParagraph"/>
        <w:numPr>
          <w:ilvl w:val="0"/>
          <w:numId w:val="6"/>
        </w:numPr>
        <w:tabs>
          <w:tab w:pos="1266" w:val="left" w:leader="none"/>
        </w:tabs>
        <w:spacing w:line="328" w:lineRule="auto" w:before="0" w:after="0"/>
        <w:ind w:left="867" w:right="7353" w:firstLine="0"/>
        <w:jc w:val="left"/>
        <w:rPr>
          <w:sz w:val="32"/>
        </w:rPr>
      </w:pPr>
      <w:r>
        <w:rPr>
          <w:spacing w:val="-4"/>
          <w:sz w:val="32"/>
        </w:rPr>
        <w:t>须提供的材料</w:t>
      </w:r>
      <w:r>
        <w:rPr>
          <w:sz w:val="32"/>
        </w:rPr>
        <w:t>(1</w:t>
      </w:r>
      <w:r>
        <w:rPr>
          <w:spacing w:val="-2"/>
          <w:sz w:val="32"/>
        </w:rPr>
        <w:t>)申报表；</w:t>
      </w:r>
    </w:p>
    <w:p>
      <w:pPr>
        <w:pStyle w:val="ListParagraph"/>
        <w:numPr>
          <w:ilvl w:val="0"/>
          <w:numId w:val="7"/>
        </w:numPr>
        <w:tabs>
          <w:tab w:pos="1351" w:val="left" w:leader="none"/>
        </w:tabs>
        <w:spacing w:line="240" w:lineRule="auto" w:before="0" w:after="0"/>
        <w:ind w:left="1350" w:right="0" w:hanging="484"/>
        <w:jc w:val="left"/>
        <w:rPr>
          <w:sz w:val="32"/>
        </w:rPr>
      </w:pPr>
      <w:r>
        <w:rPr>
          <w:spacing w:val="-4"/>
          <w:sz w:val="32"/>
        </w:rPr>
        <w:t>企业营业执照复印件；</w:t>
      </w:r>
    </w:p>
    <w:p>
      <w:pPr>
        <w:pStyle w:val="ListParagraph"/>
        <w:numPr>
          <w:ilvl w:val="0"/>
          <w:numId w:val="7"/>
        </w:numPr>
        <w:tabs>
          <w:tab w:pos="1351" w:val="left" w:leader="none"/>
        </w:tabs>
        <w:spacing w:line="328" w:lineRule="auto" w:before="136" w:after="0"/>
        <w:ind w:left="867" w:right="4074" w:firstLine="0"/>
        <w:jc w:val="left"/>
        <w:rPr>
          <w:sz w:val="32"/>
        </w:rPr>
      </w:pPr>
      <w:r>
        <w:rPr>
          <w:spacing w:val="-6"/>
          <w:sz w:val="32"/>
        </w:rPr>
        <w:t>上年度完税证明、上年度统计报表； (4</w:t>
      </w:r>
      <w:r>
        <w:rPr>
          <w:spacing w:val="-5"/>
          <w:sz w:val="32"/>
        </w:rPr>
        <w:t>)其他有关材料。</w:t>
      </w:r>
    </w:p>
    <w:p>
      <w:pPr>
        <w:pStyle w:val="BodyText"/>
        <w:spacing w:line="328" w:lineRule="auto"/>
        <w:ind w:right="1353" w:firstLine="638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  <w:spacing w:val="-6"/>
        </w:rPr>
        <w:t>四</w:t>
      </w:r>
      <w:r>
        <w:rPr>
          <w:rFonts w:ascii="楷体_GB2312" w:eastAsia="楷体_GB2312" w:hint="eastAsia"/>
          <w:spacing w:val="-30"/>
        </w:rPr>
        <w:t>）</w:t>
      </w:r>
      <w:r>
        <w:rPr>
          <w:rFonts w:ascii="楷体_GB2312" w:eastAsia="楷体_GB2312" w:hint="eastAsia"/>
          <w:spacing w:val="-8"/>
        </w:rPr>
        <w:t>支持高精尖企业扩大规模。对上年度区域综合贡献在1000</w:t>
      </w:r>
      <w:r>
        <w:rPr>
          <w:rFonts w:ascii="楷体_GB2312" w:eastAsia="楷体_GB2312" w:hint="eastAsia"/>
          <w:spacing w:val="-65"/>
        </w:rPr>
        <w:t> </w:t>
      </w:r>
      <w:r>
        <w:rPr>
          <w:rFonts w:ascii="楷体_GB2312" w:eastAsia="楷体_GB2312" w:hint="eastAsia"/>
        </w:rPr>
        <w:t>万</w:t>
      </w:r>
      <w:r>
        <w:rPr>
          <w:rFonts w:ascii="楷体_GB2312" w:eastAsia="楷体_GB2312" w:hint="eastAsia"/>
          <w:spacing w:val="-6"/>
        </w:rPr>
        <w:t>元</w:t>
      </w:r>
      <w:r>
        <w:rPr>
          <w:rFonts w:ascii="楷体_GB2312" w:eastAsia="楷体_GB2312" w:hint="eastAsia"/>
        </w:rPr>
        <w:t>（含</w:t>
      </w:r>
      <w:r>
        <w:rPr>
          <w:rFonts w:ascii="楷体_GB2312" w:eastAsia="楷体_GB2312" w:hint="eastAsia"/>
          <w:spacing w:val="-6"/>
        </w:rPr>
        <w:t>）</w:t>
      </w:r>
      <w:r>
        <w:rPr>
          <w:rFonts w:ascii="楷体_GB2312" w:eastAsia="楷体_GB2312" w:hint="eastAsia"/>
        </w:rPr>
        <w:t>以上</w:t>
      </w:r>
      <w:r>
        <w:rPr>
          <w:rFonts w:ascii="楷体_GB2312" w:eastAsia="楷体_GB2312" w:hint="eastAsia"/>
          <w:spacing w:val="-6"/>
        </w:rPr>
        <w:t>，</w:t>
      </w:r>
      <w:r>
        <w:rPr>
          <w:rFonts w:ascii="楷体_GB2312" w:eastAsia="楷体_GB2312" w:hint="eastAsia"/>
        </w:rPr>
        <w:t>且区</w:t>
      </w:r>
      <w:r>
        <w:rPr>
          <w:rFonts w:ascii="楷体_GB2312" w:eastAsia="楷体_GB2312" w:hint="eastAsia"/>
          <w:spacing w:val="-6"/>
        </w:rPr>
        <w:t>域</w:t>
      </w:r>
      <w:r>
        <w:rPr>
          <w:rFonts w:ascii="楷体_GB2312" w:eastAsia="楷体_GB2312" w:hint="eastAsia"/>
        </w:rPr>
        <w:t>综合</w:t>
      </w:r>
      <w:r>
        <w:rPr>
          <w:rFonts w:ascii="楷体_GB2312" w:eastAsia="楷体_GB2312" w:hint="eastAsia"/>
          <w:spacing w:val="-6"/>
        </w:rPr>
        <w:t>贡</w:t>
      </w:r>
      <w:r>
        <w:rPr>
          <w:rFonts w:ascii="楷体_GB2312" w:eastAsia="楷体_GB2312" w:hint="eastAsia"/>
        </w:rPr>
        <w:t>献年</w:t>
      </w:r>
      <w:r>
        <w:rPr>
          <w:rFonts w:ascii="楷体_GB2312" w:eastAsia="楷体_GB2312" w:hint="eastAsia"/>
          <w:spacing w:val="-6"/>
        </w:rPr>
        <w:t>度</w:t>
      </w:r>
      <w:r>
        <w:rPr>
          <w:rFonts w:ascii="楷体_GB2312" w:eastAsia="楷体_GB2312" w:hint="eastAsia"/>
        </w:rPr>
        <w:t>增长</w:t>
      </w:r>
      <w:r>
        <w:rPr>
          <w:rFonts w:ascii="楷体_GB2312" w:eastAsia="楷体_GB2312" w:hint="eastAsia"/>
          <w:spacing w:val="-6"/>
        </w:rPr>
        <w:t>率</w:t>
      </w:r>
      <w:r>
        <w:rPr>
          <w:rFonts w:ascii="楷体_GB2312" w:eastAsia="楷体_GB2312" w:hint="eastAsia"/>
        </w:rPr>
        <w:t>在</w:t>
      </w:r>
      <w:r>
        <w:rPr>
          <w:rFonts w:ascii="楷体_GB2312" w:eastAsia="楷体_GB2312" w:hint="eastAsia"/>
          <w:spacing w:val="-68"/>
        </w:rPr>
        <w:t> </w:t>
      </w:r>
      <w:r>
        <w:rPr>
          <w:rFonts w:ascii="楷体_GB2312" w:eastAsia="楷体_GB2312" w:hint="eastAsia"/>
          <w:spacing w:val="4"/>
        </w:rPr>
        <w:t>20</w:t>
      </w:r>
      <w:r>
        <w:rPr>
          <w:rFonts w:ascii="楷体_GB2312" w:eastAsia="楷体_GB2312" w:hint="eastAsia"/>
          <w:spacing w:val="7"/>
          <w:w w:val="100"/>
        </w:rPr>
        <w:drawing>
          <wp:inline distT="0" distB="0" distL="0" distR="0">
            <wp:extent cx="85724" cy="155574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_GB2312" w:eastAsia="楷体_GB2312" w:hint="eastAsia"/>
          <w:spacing w:val="7"/>
          <w:w w:val="100"/>
        </w:rPr>
      </w:r>
      <w:r>
        <w:rPr>
          <w:rFonts w:ascii="楷体_GB2312" w:eastAsia="楷体_GB2312" w:hint="eastAsia"/>
        </w:rPr>
        <w:t>（含）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以上的</w:t>
      </w:r>
      <w:r>
        <w:rPr>
          <w:rFonts w:ascii="楷体_GB2312" w:eastAsia="楷体_GB2312" w:hint="eastAsia"/>
          <w:spacing w:val="-6"/>
        </w:rPr>
        <w:t>高</w:t>
      </w:r>
      <w:r>
        <w:rPr>
          <w:rFonts w:ascii="楷体_GB2312" w:eastAsia="楷体_GB2312" w:hint="eastAsia"/>
        </w:rPr>
        <w:t>精尖企业，</w:t>
      </w:r>
      <w:r>
        <w:rPr>
          <w:rFonts w:ascii="楷体_GB2312" w:eastAsia="楷体_GB2312" w:hint="eastAsia"/>
          <w:spacing w:val="-6"/>
        </w:rPr>
        <w:t>按</w:t>
      </w:r>
      <w:r>
        <w:rPr>
          <w:rFonts w:ascii="楷体_GB2312" w:eastAsia="楷体_GB2312" w:hint="eastAsia"/>
        </w:rPr>
        <w:t>照上年度区</w:t>
      </w:r>
      <w:r>
        <w:rPr>
          <w:rFonts w:ascii="楷体_GB2312" w:eastAsia="楷体_GB2312" w:hint="eastAsia"/>
          <w:spacing w:val="-6"/>
        </w:rPr>
        <w:t>域</w:t>
      </w:r>
      <w:r>
        <w:rPr>
          <w:rFonts w:ascii="楷体_GB2312" w:eastAsia="楷体_GB2312" w:hint="eastAsia"/>
        </w:rPr>
        <w:t>综合贡献新增</w:t>
      </w:r>
      <w:r>
        <w:rPr>
          <w:rFonts w:ascii="楷体_GB2312" w:eastAsia="楷体_GB2312" w:hint="eastAsia"/>
          <w:spacing w:val="-6"/>
        </w:rPr>
        <w:t>部</w:t>
      </w:r>
      <w:r>
        <w:rPr>
          <w:rFonts w:ascii="楷体_GB2312" w:eastAsia="楷体_GB2312" w:hint="eastAsia"/>
        </w:rPr>
        <w:t>分的</w:t>
      </w:r>
      <w:r>
        <w:rPr>
          <w:rFonts w:ascii="楷体_GB2312" w:eastAsia="楷体_GB2312" w:hint="eastAsia"/>
          <w:spacing w:val="-51"/>
        </w:rPr>
        <w:t> </w:t>
      </w:r>
      <w:r>
        <w:rPr>
          <w:rFonts w:ascii="楷体_GB2312" w:eastAsia="楷体_GB2312" w:hint="eastAsia"/>
          <w:spacing w:val="4"/>
        </w:rPr>
        <w:t>50</w:t>
      </w:r>
      <w:r>
        <w:rPr>
          <w:rFonts w:ascii="楷体_GB2312" w:eastAsia="楷体_GB2312" w:hint="eastAsia"/>
          <w:spacing w:val="7"/>
          <w:w w:val="100"/>
        </w:rPr>
        <w:drawing>
          <wp:inline distT="0" distB="0" distL="0" distR="0">
            <wp:extent cx="85724" cy="155574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_GB2312" w:eastAsia="楷体_GB2312" w:hint="eastAsia"/>
          <w:spacing w:val="7"/>
          <w:w w:val="100"/>
        </w:rPr>
      </w:r>
      <w:r>
        <w:rPr>
          <w:rFonts w:ascii="楷体_GB2312" w:eastAsia="楷体_GB2312" w:hint="eastAsia"/>
        </w:rPr>
        <w:t>，</w:t>
      </w:r>
    </w:p>
    <w:p>
      <w:pPr>
        <w:pStyle w:val="BodyText"/>
        <w:spacing w:before="147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给予每年最高不超过 500 万元的支持资金。</w:t>
      </w:r>
    </w:p>
    <w:p>
      <w:pPr>
        <w:pStyle w:val="ListParagraph"/>
        <w:numPr>
          <w:ilvl w:val="0"/>
          <w:numId w:val="8"/>
        </w:numPr>
        <w:tabs>
          <w:tab w:pos="1266" w:val="left" w:leader="none"/>
        </w:tabs>
        <w:spacing w:line="240" w:lineRule="auto" w:before="147" w:after="0"/>
        <w:ind w:left="1265" w:right="0" w:hanging="399"/>
        <w:jc w:val="left"/>
        <w:rPr>
          <w:sz w:val="32"/>
        </w:rPr>
      </w:pPr>
      <w:r>
        <w:rPr>
          <w:spacing w:val="-2"/>
          <w:sz w:val="32"/>
        </w:rPr>
        <w:t>须满足的条件</w:t>
      </w:r>
    </w:p>
    <w:p>
      <w:pPr>
        <w:pStyle w:val="BodyText"/>
        <w:spacing w:before="151"/>
        <w:ind w:left="867"/>
      </w:pPr>
      <w:r>
        <w:rPr/>
        <w:t>上年度区域综合贡献在 </w:t>
      </w:r>
      <w:r>
        <w:rPr>
          <w:rFonts w:ascii="Times New Roman" w:eastAsia="Times New Roman"/>
        </w:rPr>
        <w:t>1000 </w:t>
      </w:r>
      <w:r>
        <w:rPr/>
        <w:t>万元（含）以上，且区域综合</w:t>
      </w:r>
    </w:p>
    <w:p>
      <w:pPr>
        <w:pStyle w:val="BodyText"/>
        <w:spacing w:line="328" w:lineRule="auto" w:before="147"/>
        <w:ind w:right="1252"/>
      </w:pPr>
      <w:r>
        <w:rPr>
          <w:position w:val="1"/>
        </w:rPr>
        <w:t>贡</w:t>
      </w:r>
      <w:r>
        <w:rPr>
          <w:spacing w:val="-6"/>
          <w:position w:val="1"/>
        </w:rPr>
        <w:t>献</w:t>
      </w:r>
      <w:r>
        <w:rPr>
          <w:position w:val="1"/>
        </w:rPr>
        <w:t>每年</w:t>
      </w:r>
      <w:r>
        <w:rPr>
          <w:spacing w:val="-6"/>
          <w:position w:val="1"/>
        </w:rPr>
        <w:t>度</w:t>
      </w:r>
      <w:r>
        <w:rPr>
          <w:position w:val="1"/>
        </w:rPr>
        <w:t>增长</w:t>
      </w:r>
      <w:r>
        <w:rPr>
          <w:spacing w:val="-6"/>
          <w:position w:val="1"/>
        </w:rPr>
        <w:t>率</w:t>
      </w:r>
      <w:r>
        <w:rPr>
          <w:position w:val="1"/>
        </w:rPr>
        <w:t>在</w:t>
      </w:r>
      <w:r>
        <w:rPr>
          <w:spacing w:val="-68"/>
          <w:position w:val="1"/>
        </w:rPr>
        <w:t> </w:t>
      </w:r>
      <w:r>
        <w:rPr>
          <w:spacing w:val="4"/>
          <w:position w:val="1"/>
        </w:rPr>
        <w:t>20</w:t>
      </w:r>
      <w:r>
        <w:rPr>
          <w:spacing w:val="7"/>
          <w:w w:val="100"/>
        </w:rPr>
        <w:drawing>
          <wp:inline distT="0" distB="0" distL="0" distR="0">
            <wp:extent cx="85724" cy="155574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w w:val="100"/>
        </w:rPr>
      </w:r>
      <w:r>
        <w:rPr>
          <w:position w:val="1"/>
        </w:rPr>
        <w:t>（含</w:t>
      </w:r>
      <w:r>
        <w:rPr>
          <w:spacing w:val="-39"/>
          <w:position w:val="1"/>
        </w:rPr>
        <w:t>）</w:t>
      </w:r>
      <w:r>
        <w:rPr>
          <w:position w:val="1"/>
        </w:rPr>
        <w:t>以</w:t>
      </w:r>
      <w:r>
        <w:rPr>
          <w:spacing w:val="-6"/>
          <w:position w:val="1"/>
        </w:rPr>
        <w:t>上</w:t>
      </w:r>
      <w:r>
        <w:rPr>
          <w:position w:val="1"/>
        </w:rPr>
        <w:t>的</w:t>
      </w:r>
      <w:r>
        <w:rPr>
          <w:spacing w:val="-39"/>
          <w:position w:val="1"/>
        </w:rPr>
        <w:t>，</w:t>
      </w:r>
      <w:r>
        <w:rPr>
          <w:position w:val="1"/>
        </w:rPr>
        <w:t>本</w:t>
      </w:r>
      <w:r>
        <w:rPr>
          <w:spacing w:val="-6"/>
          <w:position w:val="1"/>
        </w:rPr>
        <w:t>项</w:t>
      </w:r>
      <w:r>
        <w:rPr>
          <w:position w:val="1"/>
        </w:rPr>
        <w:t>政策</w:t>
      </w:r>
      <w:r>
        <w:rPr>
          <w:spacing w:val="-34"/>
          <w:position w:val="1"/>
        </w:rPr>
        <w:t>与</w:t>
      </w:r>
      <w:r>
        <w:rPr>
          <w:spacing w:val="-6"/>
          <w:position w:val="1"/>
        </w:rPr>
        <w:t>《</w:t>
      </w:r>
      <w:r>
        <w:rPr>
          <w:position w:val="1"/>
        </w:rPr>
        <w:t>暂</w:t>
      </w:r>
      <w:r>
        <w:rPr>
          <w:spacing w:val="-6"/>
          <w:position w:val="1"/>
        </w:rPr>
        <w:t>行</w:t>
      </w:r>
      <w:r>
        <w:rPr>
          <w:position w:val="1"/>
        </w:rPr>
        <w:t>办法</w:t>
      </w:r>
      <w:r>
        <w:rPr>
          <w:spacing w:val="-21"/>
          <w:position w:val="1"/>
        </w:rPr>
        <w:t>》</w:t>
      </w:r>
      <w:r>
        <w:rPr>
          <w:spacing w:val="-6"/>
        </w:rPr>
        <w:t>的第三章第三条第</w:t>
      </w:r>
      <w:r>
        <w:rPr/>
        <w:t>（</w:t>
      </w:r>
      <w:r>
        <w:rPr>
          <w:spacing w:val="-6"/>
        </w:rPr>
        <w:t>一</w:t>
      </w:r>
      <w:r>
        <w:rPr>
          <w:spacing w:val="-20"/>
        </w:rPr>
        <w:t>）</w:t>
      </w:r>
      <w:r>
        <w:rPr>
          <w:spacing w:val="-6"/>
        </w:rPr>
        <w:t>项均符合条件的，在同一年度内可任选其一申报，不予重复支持。</w:t>
      </w:r>
    </w:p>
    <w:p>
      <w:pPr>
        <w:pStyle w:val="ListParagraph"/>
        <w:numPr>
          <w:ilvl w:val="0"/>
          <w:numId w:val="8"/>
        </w:numPr>
        <w:tabs>
          <w:tab w:pos="1266" w:val="left" w:leader="none"/>
        </w:tabs>
        <w:spacing w:line="326" w:lineRule="auto" w:before="0" w:after="0"/>
        <w:ind w:left="867" w:right="7353" w:firstLine="0"/>
        <w:jc w:val="left"/>
        <w:rPr>
          <w:sz w:val="32"/>
        </w:rPr>
      </w:pPr>
      <w:r>
        <w:rPr>
          <w:spacing w:val="-4"/>
          <w:sz w:val="32"/>
        </w:rPr>
        <w:t>须提供的材料</w:t>
      </w:r>
      <w:r>
        <w:rPr>
          <w:sz w:val="32"/>
        </w:rPr>
        <w:t>(1</w:t>
      </w:r>
      <w:r>
        <w:rPr>
          <w:spacing w:val="-2"/>
          <w:sz w:val="32"/>
        </w:rPr>
        <w:t>)申报表；</w:t>
      </w:r>
    </w:p>
    <w:p>
      <w:pPr>
        <w:pStyle w:val="ListParagraph"/>
        <w:numPr>
          <w:ilvl w:val="0"/>
          <w:numId w:val="9"/>
        </w:numPr>
        <w:tabs>
          <w:tab w:pos="1351" w:val="left" w:leader="none"/>
        </w:tabs>
        <w:spacing w:line="240" w:lineRule="auto" w:before="3" w:after="0"/>
        <w:ind w:left="1350" w:right="0" w:hanging="484"/>
        <w:jc w:val="left"/>
        <w:rPr>
          <w:sz w:val="32"/>
        </w:rPr>
      </w:pPr>
      <w:r>
        <w:rPr>
          <w:spacing w:val="-4"/>
          <w:sz w:val="32"/>
        </w:rPr>
        <w:t>企业营业执照复印件；</w:t>
      </w:r>
    </w:p>
    <w:p>
      <w:pPr>
        <w:pStyle w:val="ListParagraph"/>
        <w:numPr>
          <w:ilvl w:val="0"/>
          <w:numId w:val="9"/>
        </w:numPr>
        <w:tabs>
          <w:tab w:pos="1351" w:val="left" w:leader="none"/>
        </w:tabs>
        <w:spacing w:line="326" w:lineRule="auto" w:before="152" w:after="0"/>
        <w:ind w:left="867" w:right="4074" w:firstLine="0"/>
        <w:jc w:val="left"/>
        <w:rPr>
          <w:sz w:val="32"/>
        </w:rPr>
      </w:pPr>
      <w:r>
        <w:rPr>
          <w:spacing w:val="-6"/>
          <w:sz w:val="32"/>
        </w:rPr>
        <w:t>近两年完税证明、近两年统计报表； (4</w:t>
      </w:r>
      <w:r>
        <w:rPr>
          <w:spacing w:val="-5"/>
          <w:sz w:val="32"/>
        </w:rPr>
        <w:t>)其他有关材料。</w:t>
      </w:r>
    </w:p>
    <w:p>
      <w:pPr>
        <w:spacing w:after="0" w:line="326" w:lineRule="auto"/>
        <w:jc w:val="left"/>
        <w:rPr>
          <w:sz w:val="32"/>
        </w:rPr>
        <w:sectPr>
          <w:pgSz w:w="11910" w:h="16840"/>
          <w:pgMar w:header="0" w:footer="954" w:top="1580" w:bottom="1140" w:left="1360" w:right="0"/>
        </w:sectPr>
      </w:pPr>
    </w:p>
    <w:p>
      <w:pPr>
        <w:pStyle w:val="BodyText"/>
        <w:ind w:left="0"/>
        <w:rPr>
          <w:sz w:val="20"/>
        </w:rPr>
      </w:pPr>
      <w:r>
        <w:rPr/>
        <w:pict>
          <v:shape style="position:absolute;margin-left:14.101753pt;margin-top:401.402161pt;width:576pt;height:48pt;mso-position-horizontal-relative:page;mso-position-vertical-relative:page;z-index:-252090368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11"/>
        <w:ind w:left="0"/>
        <w:rPr>
          <w:sz w:val="15"/>
        </w:rPr>
      </w:pPr>
    </w:p>
    <w:p>
      <w:pPr>
        <w:pStyle w:val="BodyText"/>
        <w:spacing w:line="328" w:lineRule="auto" w:before="57"/>
        <w:ind w:right="1353" w:firstLine="638"/>
        <w:jc w:val="both"/>
        <w:rPr>
          <w:rFonts w:ascii="楷体_GB2312" w:hAnsi="楷体_GB2312" w:eastAsia="楷体_GB2312" w:hint="eastAsia"/>
        </w:rPr>
      </w:pPr>
      <w:r>
        <w:rPr>
          <w:rFonts w:ascii="楷体_GB2312" w:hAnsi="楷体_GB2312" w:eastAsia="楷体_GB2312" w:hint="eastAsia"/>
        </w:rPr>
        <w:t>（</w:t>
      </w:r>
      <w:r>
        <w:rPr>
          <w:rFonts w:ascii="楷体_GB2312" w:hAnsi="楷体_GB2312" w:eastAsia="楷体_GB2312" w:hint="eastAsia"/>
          <w:spacing w:val="-6"/>
        </w:rPr>
        <w:t>五</w:t>
      </w:r>
      <w:r>
        <w:rPr>
          <w:rFonts w:ascii="楷体_GB2312" w:hAnsi="楷体_GB2312" w:eastAsia="楷体_GB2312" w:hint="eastAsia"/>
          <w:spacing w:val="-30"/>
        </w:rPr>
        <w:t>）</w:t>
      </w:r>
      <w:r>
        <w:rPr>
          <w:rFonts w:ascii="楷体_GB2312" w:hAnsi="楷体_GB2312" w:eastAsia="楷体_GB2312" w:hint="eastAsia"/>
          <w:spacing w:val="-8"/>
        </w:rPr>
        <w:t>支持高精尖产业园区提质增效。对上年度园区内企业</w:t>
      </w:r>
      <w:r>
        <w:rPr>
          <w:rFonts w:ascii="楷体_GB2312" w:hAnsi="楷体_GB2312" w:eastAsia="楷体_GB2312" w:hint="eastAsia"/>
          <w:spacing w:val="-6"/>
        </w:rPr>
        <w:t>重点指标达到《大兴区“高精尖”企业指数标准》的产业园区， 按照园区</w:t>
      </w:r>
      <w:r>
        <w:rPr>
          <w:rFonts w:ascii="楷体_GB2312" w:hAnsi="楷体_GB2312" w:eastAsia="楷体_GB2312" w:hint="eastAsia"/>
        </w:rPr>
        <w:t>内所有企业</w:t>
      </w:r>
      <w:r>
        <w:rPr>
          <w:rFonts w:ascii="楷体_GB2312" w:hAnsi="楷体_GB2312" w:eastAsia="楷体_GB2312" w:hint="eastAsia"/>
          <w:spacing w:val="-6"/>
        </w:rPr>
        <w:t>上</w:t>
      </w:r>
      <w:r>
        <w:rPr>
          <w:rFonts w:ascii="楷体_GB2312" w:hAnsi="楷体_GB2312" w:eastAsia="楷体_GB2312" w:hint="eastAsia"/>
        </w:rPr>
        <w:t>年度区域综</w:t>
      </w:r>
      <w:r>
        <w:rPr>
          <w:rFonts w:ascii="楷体_GB2312" w:hAnsi="楷体_GB2312" w:eastAsia="楷体_GB2312" w:hint="eastAsia"/>
          <w:spacing w:val="-6"/>
        </w:rPr>
        <w:t>合</w:t>
      </w:r>
      <w:r>
        <w:rPr>
          <w:rFonts w:ascii="楷体_GB2312" w:hAnsi="楷体_GB2312" w:eastAsia="楷体_GB2312" w:hint="eastAsia"/>
        </w:rPr>
        <w:t>贡献总额的</w:t>
      </w:r>
      <w:r>
        <w:rPr>
          <w:rFonts w:ascii="楷体_GB2312" w:hAnsi="楷体_GB2312" w:eastAsia="楷体_GB2312" w:hint="eastAsia"/>
          <w:spacing w:val="-56"/>
        </w:rPr>
        <w:t> </w:t>
      </w:r>
      <w:r>
        <w:rPr>
          <w:rFonts w:ascii="楷体_GB2312" w:hAnsi="楷体_GB2312" w:eastAsia="楷体_GB2312" w:hint="eastAsia"/>
          <w:spacing w:val="4"/>
        </w:rPr>
        <w:t>10</w:t>
      </w:r>
      <w:r>
        <w:rPr>
          <w:rFonts w:ascii="楷体_GB2312" w:hAnsi="楷体_GB2312" w:eastAsia="楷体_GB2312" w:hint="eastAsia"/>
          <w:spacing w:val="7"/>
          <w:w w:val="100"/>
        </w:rPr>
        <w:drawing>
          <wp:inline distT="0" distB="0" distL="0" distR="0">
            <wp:extent cx="85724" cy="155574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_GB2312" w:hAnsi="楷体_GB2312" w:eastAsia="楷体_GB2312" w:hint="eastAsia"/>
          <w:spacing w:val="7"/>
          <w:w w:val="100"/>
        </w:rPr>
      </w:r>
      <w:r>
        <w:rPr>
          <w:rFonts w:ascii="楷体_GB2312" w:hAnsi="楷体_GB2312" w:eastAsia="楷体_GB2312" w:hint="eastAsia"/>
        </w:rPr>
        <w:t>，给予</w:t>
      </w:r>
      <w:r>
        <w:rPr>
          <w:rFonts w:ascii="楷体_GB2312" w:hAnsi="楷体_GB2312" w:eastAsia="楷体_GB2312" w:hint="eastAsia"/>
          <w:spacing w:val="-6"/>
        </w:rPr>
        <w:t>园</w:t>
      </w:r>
      <w:r>
        <w:rPr>
          <w:rFonts w:ascii="楷体_GB2312" w:hAnsi="楷体_GB2312" w:eastAsia="楷体_GB2312" w:hint="eastAsia"/>
        </w:rPr>
        <w:t>区</w:t>
      </w:r>
    </w:p>
    <w:p>
      <w:pPr>
        <w:pStyle w:val="BodyText"/>
        <w:spacing w:line="405" w:lineRule="exact"/>
        <w:jc w:val="both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运营单位每年最高不超过 1000 万元的支持资金。</w:t>
      </w:r>
    </w:p>
    <w:p>
      <w:pPr>
        <w:pStyle w:val="ListParagraph"/>
        <w:numPr>
          <w:ilvl w:val="0"/>
          <w:numId w:val="10"/>
        </w:numPr>
        <w:tabs>
          <w:tab w:pos="1266" w:val="left" w:leader="none"/>
        </w:tabs>
        <w:spacing w:line="240" w:lineRule="auto" w:before="147" w:after="0"/>
        <w:ind w:left="1265" w:right="0" w:hanging="399"/>
        <w:jc w:val="left"/>
        <w:rPr>
          <w:sz w:val="32"/>
        </w:rPr>
      </w:pPr>
      <w:r>
        <w:rPr>
          <w:spacing w:val="-2"/>
          <w:sz w:val="32"/>
        </w:rPr>
        <w:t>须满足的条件</w:t>
      </w:r>
    </w:p>
    <w:p>
      <w:pPr>
        <w:pStyle w:val="BodyText"/>
        <w:spacing w:line="328" w:lineRule="auto" w:before="151"/>
        <w:ind w:right="1252" w:firstLine="638"/>
      </w:pPr>
      <w:r>
        <w:rPr>
          <w:spacing w:val="-9"/>
        </w:rPr>
        <w:t>上年度园区内企业地均税收达到《大兴区“高精尖”企业指</w:t>
      </w:r>
      <w:r>
        <w:rPr>
          <w:spacing w:val="-27"/>
        </w:rPr>
        <w:t>数标准》，即地均税收 </w:t>
      </w:r>
      <w:r>
        <w:rPr/>
        <w:t>15</w:t>
      </w:r>
      <w:r>
        <w:rPr>
          <w:spacing w:val="-24"/>
        </w:rPr>
        <w:t> 亿元</w:t>
      </w:r>
      <w:r>
        <w:rPr/>
        <w:t>/</w:t>
      </w:r>
      <w:r>
        <w:rPr>
          <w:spacing w:val="-8"/>
        </w:rPr>
        <w:t>平方公里</w:t>
      </w:r>
      <w:r>
        <w:rPr/>
        <w:t>（含</w:t>
      </w:r>
      <w:r>
        <w:rPr>
          <w:spacing w:val="-25"/>
        </w:rPr>
        <w:t>）</w:t>
      </w:r>
      <w:r>
        <w:rPr>
          <w:spacing w:val="-3"/>
        </w:rPr>
        <w:t>以上的产业园区。</w:t>
      </w:r>
      <w:r>
        <w:rPr>
          <w:spacing w:val="-7"/>
        </w:rPr>
        <w:t>支持资金不能超过该园区运营单位上年度区域综合贡献。</w:t>
      </w:r>
      <w:r>
        <w:rPr/>
        <w:t>（</w:t>
      </w:r>
      <w:r>
        <w:rPr>
          <w:spacing w:val="2"/>
        </w:rPr>
        <w:t>地均</w:t>
      </w:r>
      <w:r>
        <w:rPr>
          <w:spacing w:val="-6"/>
        </w:rPr>
        <w:t>税收=园区内所有企业税收总额</w:t>
      </w:r>
      <w:r>
        <w:rPr>
          <w:spacing w:val="-3"/>
        </w:rPr>
        <w:t>/</w:t>
      </w:r>
      <w:r>
        <w:rPr>
          <w:spacing w:val="-4"/>
        </w:rPr>
        <w:t>园区建设用地面积</w:t>
      </w:r>
      <w:r>
        <w:rPr/>
        <w:t>）</w:t>
      </w:r>
    </w:p>
    <w:p>
      <w:pPr>
        <w:pStyle w:val="ListParagraph"/>
        <w:numPr>
          <w:ilvl w:val="0"/>
          <w:numId w:val="10"/>
        </w:numPr>
        <w:tabs>
          <w:tab w:pos="1266" w:val="left" w:leader="none"/>
        </w:tabs>
        <w:spacing w:line="326" w:lineRule="auto" w:before="0" w:after="0"/>
        <w:ind w:left="867" w:right="7353" w:firstLine="0"/>
        <w:jc w:val="left"/>
        <w:rPr>
          <w:sz w:val="32"/>
        </w:rPr>
      </w:pPr>
      <w:r>
        <w:rPr>
          <w:spacing w:val="-4"/>
          <w:sz w:val="32"/>
        </w:rPr>
        <w:t>须提供的材料</w:t>
      </w:r>
      <w:r>
        <w:rPr>
          <w:sz w:val="32"/>
        </w:rPr>
        <w:t>(1</w:t>
      </w:r>
      <w:r>
        <w:rPr>
          <w:spacing w:val="-2"/>
          <w:sz w:val="32"/>
        </w:rPr>
        <w:t>)申报表；</w:t>
      </w:r>
    </w:p>
    <w:p>
      <w:pPr>
        <w:pStyle w:val="ListParagraph"/>
        <w:numPr>
          <w:ilvl w:val="0"/>
          <w:numId w:val="11"/>
        </w:numPr>
        <w:tabs>
          <w:tab w:pos="1351" w:val="left" w:leader="none"/>
        </w:tabs>
        <w:spacing w:line="240" w:lineRule="auto" w:before="0" w:after="0"/>
        <w:ind w:left="1350" w:right="0" w:hanging="484"/>
        <w:jc w:val="left"/>
        <w:rPr>
          <w:sz w:val="32"/>
        </w:rPr>
      </w:pPr>
      <w:r>
        <w:rPr>
          <w:spacing w:val="-5"/>
          <w:sz w:val="32"/>
        </w:rPr>
        <w:t>园区运营单位营业执照复印件；</w:t>
      </w:r>
    </w:p>
    <w:p>
      <w:pPr>
        <w:pStyle w:val="ListParagraph"/>
        <w:numPr>
          <w:ilvl w:val="0"/>
          <w:numId w:val="11"/>
        </w:numPr>
        <w:tabs>
          <w:tab w:pos="1352" w:val="left" w:leader="none"/>
        </w:tabs>
        <w:spacing w:line="328" w:lineRule="auto" w:before="150" w:after="0"/>
        <w:ind w:left="228" w:right="1410" w:firstLine="638"/>
        <w:jc w:val="both"/>
        <w:rPr>
          <w:sz w:val="32"/>
        </w:rPr>
      </w:pPr>
      <w:r>
        <w:rPr>
          <w:sz w:val="32"/>
        </w:rPr>
        <w:t>如园区运营单位与园区资产所有单位非同一主体的，需</w:t>
      </w:r>
      <w:r>
        <w:rPr>
          <w:spacing w:val="-8"/>
          <w:sz w:val="32"/>
        </w:rPr>
        <w:t>由园区资产所有单位提供同意由运营单位申请政策的说明；如园</w:t>
      </w:r>
      <w:r>
        <w:rPr>
          <w:spacing w:val="-11"/>
          <w:sz w:val="32"/>
        </w:rPr>
        <w:t>区运营单位两家及以上的，需由园区资产所有单位确定一家作为</w:t>
      </w:r>
      <w:r>
        <w:rPr>
          <w:spacing w:val="-6"/>
          <w:sz w:val="32"/>
        </w:rPr>
        <w:t>申报主体，并提供同意由运营单位申请政策的说明。</w:t>
      </w:r>
    </w:p>
    <w:p>
      <w:pPr>
        <w:pStyle w:val="ListParagraph"/>
        <w:numPr>
          <w:ilvl w:val="0"/>
          <w:numId w:val="11"/>
        </w:numPr>
        <w:tabs>
          <w:tab w:pos="1351" w:val="left" w:leader="none"/>
        </w:tabs>
        <w:spacing w:line="328" w:lineRule="auto" w:before="0" w:after="0"/>
        <w:ind w:left="228" w:right="1252" w:firstLine="638"/>
        <w:jc w:val="left"/>
        <w:rPr>
          <w:sz w:val="32"/>
        </w:rPr>
      </w:pPr>
      <w:r>
        <w:rPr>
          <w:spacing w:val="-10"/>
          <w:sz w:val="32"/>
        </w:rPr>
        <w:t>园区与所有入驻企业签订的出租合同</w:t>
      </w:r>
      <w:r>
        <w:rPr>
          <w:spacing w:val="-6"/>
          <w:sz w:val="32"/>
        </w:rPr>
        <w:t>（</w:t>
      </w:r>
      <w:r>
        <w:rPr>
          <w:spacing w:val="-3"/>
          <w:sz w:val="32"/>
        </w:rPr>
        <w:t>只需提供封面页、</w:t>
      </w:r>
      <w:r>
        <w:rPr>
          <w:spacing w:val="-6"/>
          <w:w w:val="100"/>
          <w:sz w:val="32"/>
        </w:rPr>
        <w:t>能够体现租赁位置的关建页及合同签署页</w:t>
      </w:r>
      <w:r>
        <w:rPr>
          <w:spacing w:val="-164"/>
          <w:w w:val="100"/>
          <w:sz w:val="32"/>
        </w:rPr>
        <w:t>）</w:t>
      </w:r>
      <w:r>
        <w:rPr>
          <w:w w:val="100"/>
          <w:sz w:val="32"/>
        </w:rPr>
        <w:t>；</w:t>
      </w:r>
    </w:p>
    <w:p>
      <w:pPr>
        <w:pStyle w:val="ListParagraph"/>
        <w:numPr>
          <w:ilvl w:val="0"/>
          <w:numId w:val="11"/>
        </w:numPr>
        <w:tabs>
          <w:tab w:pos="1351" w:val="left" w:leader="none"/>
        </w:tabs>
        <w:spacing w:line="240" w:lineRule="auto" w:before="0" w:after="0"/>
        <w:ind w:left="1350" w:right="0" w:hanging="484"/>
        <w:jc w:val="left"/>
        <w:rPr>
          <w:sz w:val="32"/>
        </w:rPr>
      </w:pPr>
      <w:r>
        <w:rPr>
          <w:spacing w:val="-5"/>
          <w:sz w:val="32"/>
        </w:rPr>
        <w:t>园区所有入驻企业名单；</w:t>
      </w:r>
    </w:p>
    <w:p>
      <w:pPr>
        <w:pStyle w:val="ListParagraph"/>
        <w:numPr>
          <w:ilvl w:val="0"/>
          <w:numId w:val="11"/>
        </w:numPr>
        <w:tabs>
          <w:tab w:pos="1351" w:val="left" w:leader="none"/>
        </w:tabs>
        <w:spacing w:line="328" w:lineRule="auto" w:before="136" w:after="0"/>
        <w:ind w:left="867" w:right="2154" w:firstLine="0"/>
        <w:jc w:val="left"/>
        <w:rPr>
          <w:sz w:val="32"/>
        </w:rPr>
      </w:pPr>
      <w:r>
        <w:rPr>
          <w:spacing w:val="-6"/>
          <w:sz w:val="32"/>
        </w:rPr>
        <w:t>所有入驻企业上年度完税证明及企业完税汇总表； (7)园区土地使用权证复印件；</w:t>
      </w:r>
    </w:p>
    <w:p>
      <w:pPr>
        <w:pStyle w:val="BodyText"/>
        <w:ind w:left="867"/>
      </w:pPr>
      <w:r>
        <w:rPr/>
        <w:t>(8)其他有关材料。</w:t>
      </w:r>
    </w:p>
    <w:p>
      <w:pPr>
        <w:pStyle w:val="BodyText"/>
        <w:spacing w:before="147"/>
        <w:ind w:left="867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（六）支持高精尖企业创建国家级、市级创新平台。对首次</w:t>
      </w:r>
    </w:p>
    <w:p>
      <w:pPr>
        <w:spacing w:after="0"/>
        <w:rPr>
          <w:rFonts w:ascii="楷体_GB2312" w:eastAsia="楷体_GB2312" w:hint="eastAsia"/>
        </w:rPr>
        <w:sectPr>
          <w:pgSz w:w="11910" w:h="16840"/>
          <w:pgMar w:header="0" w:footer="954" w:top="1580" w:bottom="1140" w:left="1360" w:right="0"/>
        </w:sectPr>
      </w:pPr>
    </w:p>
    <w:p>
      <w:pPr>
        <w:pStyle w:val="BodyText"/>
        <w:ind w:left="0"/>
        <w:rPr>
          <w:rFonts w:ascii="楷体_GB2312"/>
          <w:sz w:val="20"/>
        </w:rPr>
      </w:pPr>
      <w:r>
        <w:rPr/>
        <w:pict>
          <v:shape style="position:absolute;margin-left:14.101753pt;margin-top:401.402161pt;width:576pt;height:48pt;mso-position-horizontal-relative:page;mso-position-vertical-relative:page;z-index:-252089344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11"/>
        <w:ind w:left="0"/>
        <w:rPr>
          <w:rFonts w:ascii="楷体_GB2312"/>
          <w:sz w:val="15"/>
        </w:rPr>
      </w:pPr>
    </w:p>
    <w:p>
      <w:pPr>
        <w:pStyle w:val="BodyText"/>
        <w:spacing w:line="326" w:lineRule="auto" w:before="57"/>
        <w:ind w:right="1353"/>
        <w:jc w:val="both"/>
        <w:rPr>
          <w:rFonts w:ascii="楷体_GB2312" w:eastAsia="楷体_GB2312" w:hint="eastAsia"/>
        </w:rPr>
      </w:pPr>
      <w:r>
        <w:rPr>
          <w:rFonts w:ascii="楷体_GB2312" w:eastAsia="楷体_GB2312" w:hint="eastAsia"/>
          <w:spacing w:val="-6"/>
        </w:rPr>
        <w:t>获得国家级、市级重点实验室、工程研究中心、产业创新中心、</w:t>
      </w:r>
      <w:r>
        <w:rPr>
          <w:rFonts w:ascii="楷体_GB2312" w:eastAsia="楷体_GB2312" w:hint="eastAsia"/>
          <w:spacing w:val="-10"/>
        </w:rPr>
        <w:t>工业设计中心、企业技术中心、高精尖产业设计中心资质的高精</w:t>
      </w:r>
      <w:r>
        <w:rPr>
          <w:rFonts w:ascii="楷体_GB2312" w:eastAsia="楷体_GB2312" w:hint="eastAsia"/>
          <w:spacing w:val="-13"/>
        </w:rPr>
        <w:t>尖企业，分别对获得国家级资质的给予 </w:t>
      </w:r>
      <w:r>
        <w:rPr>
          <w:rFonts w:ascii="楷体_GB2312" w:eastAsia="楷体_GB2312" w:hint="eastAsia"/>
        </w:rPr>
        <w:t>200</w:t>
      </w:r>
      <w:r>
        <w:rPr>
          <w:rFonts w:ascii="楷体_GB2312" w:eastAsia="楷体_GB2312" w:hint="eastAsia"/>
          <w:spacing w:val="-14"/>
        </w:rPr>
        <w:t> 万元、对获得市级资</w:t>
      </w:r>
    </w:p>
    <w:p>
      <w:pPr>
        <w:pStyle w:val="BodyText"/>
        <w:spacing w:before="7"/>
        <w:jc w:val="both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质的给予 100 万元一次性支持资金。</w:t>
      </w:r>
    </w:p>
    <w:p>
      <w:pPr>
        <w:pStyle w:val="ListParagraph"/>
        <w:numPr>
          <w:ilvl w:val="0"/>
          <w:numId w:val="12"/>
        </w:numPr>
        <w:tabs>
          <w:tab w:pos="1266" w:val="left" w:leader="none"/>
        </w:tabs>
        <w:spacing w:line="240" w:lineRule="auto" w:before="147" w:after="0"/>
        <w:ind w:left="1265" w:right="0" w:hanging="399"/>
        <w:jc w:val="both"/>
        <w:rPr>
          <w:sz w:val="32"/>
        </w:rPr>
      </w:pPr>
      <w:r>
        <w:rPr>
          <w:spacing w:val="-2"/>
          <w:sz w:val="32"/>
        </w:rPr>
        <w:t>须满足的条件</w:t>
      </w:r>
    </w:p>
    <w:p>
      <w:pPr>
        <w:pStyle w:val="BodyText"/>
        <w:spacing w:line="328" w:lineRule="auto" w:before="151"/>
        <w:ind w:right="1353" w:firstLine="638"/>
        <w:jc w:val="both"/>
      </w:pPr>
      <w:r>
        <w:rPr/>
        <w:pict>
          <v:shape style="position:absolute;margin-left:73.709999pt;margin-top:309.100006pt;width:453.8pt;height:205.25pt;mso-position-horizontal-relative:page;mso-position-vertical-relative:paragraph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10"/>
                    <w:gridCol w:w="2410"/>
                    <w:gridCol w:w="3141"/>
                  </w:tblGrid>
                  <w:tr>
                    <w:trPr>
                      <w:trHeight w:val="560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spacing w:before="167"/>
                          <w:ind w:left="1173" w:right="116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获评资质</w:t>
                        </w: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before="167"/>
                          <w:ind w:left="202" w:right="19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国家级评定单位</w:t>
                        </w:r>
                      </w:p>
                    </w:tc>
                    <w:tc>
                      <w:tcPr>
                        <w:tcW w:w="3141" w:type="dxa"/>
                      </w:tcPr>
                      <w:p>
                        <w:pPr>
                          <w:pStyle w:val="TableParagraph"/>
                          <w:spacing w:before="167"/>
                          <w:ind w:left="149" w:right="13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市级评定单位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spacing w:before="1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重点实验室</w:t>
                        </w: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before="168"/>
                          <w:ind w:left="202" w:right="19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科技部</w:t>
                        </w:r>
                      </w:p>
                    </w:tc>
                    <w:tc>
                      <w:tcPr>
                        <w:tcW w:w="3141" w:type="dxa"/>
                      </w:tcPr>
                      <w:p>
                        <w:pPr>
                          <w:pStyle w:val="TableParagraph"/>
                          <w:spacing w:before="168"/>
                          <w:ind w:left="149" w:right="14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北京市科学技术委员会</w:t>
                        </w:r>
                      </w:p>
                    </w:tc>
                  </w:tr>
                  <w:tr>
                    <w:trPr>
                      <w:trHeight w:val="845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spacing w:before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工程研究中心、</w:t>
                        </w:r>
                      </w:p>
                      <w:p>
                        <w:pPr>
                          <w:pStyle w:val="TableParagraph"/>
                          <w:spacing w:before="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国家级企业技术中心</w:t>
                        </w: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02" w:right="19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国家发改委</w:t>
                        </w:r>
                      </w:p>
                    </w:tc>
                    <w:tc>
                      <w:tcPr>
                        <w:tcW w:w="3141" w:type="dxa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44" w:right="14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北京市发展改革委</w:t>
                        </w:r>
                      </w:p>
                    </w:tc>
                  </w:tr>
                  <w:tr>
                    <w:trPr>
                      <w:trHeight w:val="800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spacing w:before="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制造业创新中心、</w:t>
                        </w:r>
                      </w:p>
                      <w:p>
                        <w:pPr>
                          <w:pStyle w:val="TableParagraph"/>
                          <w:spacing w:line="337" w:lineRule="exact" w:before="4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国家级工业设计中心</w:t>
                        </w: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02" w:right="19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工业和信息化部</w:t>
                        </w:r>
                      </w:p>
                    </w:tc>
                    <w:tc>
                      <w:tcPr>
                        <w:tcW w:w="314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1280" w:hRule="atLeast"/>
                    </w:trPr>
                    <w:tc>
                      <w:tcPr>
                        <w:tcW w:w="3510" w:type="dxa"/>
                      </w:tcPr>
                      <w:p>
                        <w:pPr>
                          <w:pStyle w:val="TableParagraph"/>
                          <w:spacing w:before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产业创新中心、</w:t>
                        </w:r>
                      </w:p>
                      <w:p>
                        <w:pPr>
                          <w:pStyle w:val="TableParagraph"/>
                          <w:spacing w:before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北京市企业技术中心、</w:t>
                        </w:r>
                      </w:p>
                      <w:p>
                        <w:pPr>
                          <w:pStyle w:val="TableParagraph"/>
                          <w:spacing w:line="355" w:lineRule="exact" w:before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北京高精尖产业设计中心</w:t>
                        </w: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141" w:type="dxa"/>
                      </w:tcPr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sz w:val="4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49" w:right="14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北京市经济和信息化局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9"/>
        </w:rPr>
        <w:t>上年度首次获得国家级、北京市级重点实验室、工程研究中心、产业创新中心、工业设计中心、企业技术中心、高精尖产业</w:t>
      </w:r>
      <w:r>
        <w:rPr>
          <w:spacing w:val="-11"/>
        </w:rPr>
        <w:t>设计中心资质认定，且没有从区级其他部门获得相应资金奖励的高精尖企业。重点实验室须是科技部或北京市科学技术委员会认</w:t>
      </w:r>
      <w:r>
        <w:rPr>
          <w:spacing w:val="3"/>
        </w:rPr>
        <w:t>定的。工程研究中心须是国家发改委或北京市发展改革委认定</w:t>
      </w:r>
      <w:r>
        <w:rPr>
          <w:spacing w:val="-10"/>
        </w:rPr>
        <w:t>的。产业创新中心、企业技术中心、工业设计中心须是工业和信息化部认定的制造业创新中心、国家级工业设计中心或北京市经</w:t>
      </w:r>
      <w:r>
        <w:rPr>
          <w:spacing w:val="-6"/>
        </w:rPr>
        <w:t>济和信息化局认定的产业创新中心、北京高精尖产业设计中心。</w:t>
      </w:r>
      <w:r>
        <w:rPr>
          <w:spacing w:val="-9"/>
        </w:rPr>
        <w:t>国家级企业技术中心、北京市企业技术中心须是国家发改委、北</w:t>
      </w:r>
      <w:r>
        <w:rPr>
          <w:spacing w:val="3"/>
        </w:rPr>
        <w:t>京市经济和信息化局认定的。凡区级其他部门已提供资金奖励</w:t>
      </w:r>
      <w:r>
        <w:rPr>
          <w:spacing w:val="-4"/>
        </w:rPr>
        <w:t>的，不再予以支持。</w:t>
      </w:r>
    </w:p>
    <w:p>
      <w:pPr>
        <w:spacing w:after="0" w:line="328" w:lineRule="auto"/>
        <w:jc w:val="both"/>
        <w:sectPr>
          <w:pgSz w:w="11910" w:h="16840"/>
          <w:pgMar w:header="0" w:footer="954" w:top="1580" w:bottom="1140" w:left="1360" w:right="0"/>
        </w:sectPr>
      </w:pPr>
    </w:p>
    <w:p>
      <w:pPr>
        <w:pStyle w:val="BodyText"/>
        <w:ind w:left="0"/>
        <w:rPr>
          <w:sz w:val="20"/>
        </w:rPr>
      </w:pPr>
      <w:r>
        <w:rPr/>
        <w:pict>
          <v:shape style="position:absolute;margin-left:14.101753pt;margin-top:401.402161pt;width:576pt;height:48pt;mso-position-horizontal-relative:page;mso-position-vertical-relative:page;z-index:-252087296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1"/>
        <w:ind w:left="0"/>
        <w:rPr>
          <w:sz w:val="15"/>
        </w:rPr>
      </w:pPr>
    </w:p>
    <w:p>
      <w:pPr>
        <w:pStyle w:val="ListParagraph"/>
        <w:numPr>
          <w:ilvl w:val="0"/>
          <w:numId w:val="12"/>
        </w:numPr>
        <w:tabs>
          <w:tab w:pos="1266" w:val="left" w:leader="none"/>
        </w:tabs>
        <w:spacing w:line="326" w:lineRule="auto" w:before="67" w:after="0"/>
        <w:ind w:left="867" w:right="7353" w:firstLine="0"/>
        <w:jc w:val="left"/>
        <w:rPr>
          <w:sz w:val="32"/>
        </w:rPr>
      </w:pPr>
      <w:r>
        <w:rPr>
          <w:spacing w:val="-4"/>
          <w:sz w:val="32"/>
        </w:rPr>
        <w:t>须提供的材料</w:t>
      </w:r>
      <w:r>
        <w:rPr>
          <w:sz w:val="32"/>
        </w:rPr>
        <w:t>(1</w:t>
      </w:r>
      <w:r>
        <w:rPr>
          <w:spacing w:val="-2"/>
          <w:sz w:val="32"/>
        </w:rPr>
        <w:t>)申报表；</w:t>
      </w:r>
    </w:p>
    <w:p>
      <w:pPr>
        <w:pStyle w:val="ListParagraph"/>
        <w:numPr>
          <w:ilvl w:val="0"/>
          <w:numId w:val="13"/>
        </w:numPr>
        <w:tabs>
          <w:tab w:pos="1351" w:val="left" w:leader="none"/>
        </w:tabs>
        <w:spacing w:line="240" w:lineRule="auto" w:before="3" w:after="0"/>
        <w:ind w:left="1350" w:right="0" w:hanging="484"/>
        <w:jc w:val="left"/>
        <w:rPr>
          <w:sz w:val="32"/>
        </w:rPr>
      </w:pPr>
      <w:r>
        <w:rPr>
          <w:spacing w:val="-4"/>
          <w:sz w:val="32"/>
        </w:rPr>
        <w:t>企业营业执照复印件；</w:t>
      </w:r>
    </w:p>
    <w:p>
      <w:pPr>
        <w:pStyle w:val="ListParagraph"/>
        <w:numPr>
          <w:ilvl w:val="0"/>
          <w:numId w:val="13"/>
        </w:numPr>
        <w:tabs>
          <w:tab w:pos="1351" w:val="left" w:leader="none"/>
        </w:tabs>
        <w:spacing w:line="326" w:lineRule="auto" w:before="152" w:after="0"/>
        <w:ind w:left="228" w:right="1252" w:firstLine="638"/>
        <w:jc w:val="left"/>
        <w:rPr>
          <w:sz w:val="32"/>
        </w:rPr>
      </w:pPr>
      <w:r>
        <w:rPr>
          <w:spacing w:val="-10"/>
          <w:sz w:val="32"/>
        </w:rPr>
        <w:t>企业获得国家级、北京市级重点实验室、工程研究中心、</w:t>
      </w:r>
      <w:r>
        <w:rPr>
          <w:spacing w:val="-9"/>
          <w:sz w:val="32"/>
        </w:rPr>
        <w:t>产业创新中心、工业设计中心、企业技术中心、高精尖产业设计</w:t>
      </w:r>
      <w:r>
        <w:rPr>
          <w:spacing w:val="-6"/>
          <w:sz w:val="32"/>
        </w:rPr>
        <w:t>中心资质的证书，或其他证明材料复印件；</w:t>
      </w:r>
    </w:p>
    <w:p>
      <w:pPr>
        <w:pStyle w:val="ListParagraph"/>
        <w:numPr>
          <w:ilvl w:val="0"/>
          <w:numId w:val="13"/>
        </w:numPr>
        <w:tabs>
          <w:tab w:pos="1351" w:val="left" w:leader="none"/>
        </w:tabs>
        <w:spacing w:line="240" w:lineRule="auto" w:before="7" w:after="0"/>
        <w:ind w:left="1350" w:right="0" w:hanging="484"/>
        <w:jc w:val="left"/>
        <w:rPr>
          <w:sz w:val="32"/>
        </w:rPr>
      </w:pPr>
      <w:r>
        <w:rPr>
          <w:spacing w:val="-3"/>
          <w:sz w:val="32"/>
        </w:rPr>
        <w:t>其他有关材料。</w:t>
      </w:r>
    </w:p>
    <w:p>
      <w:pPr>
        <w:pStyle w:val="BodyText"/>
        <w:spacing w:line="326" w:lineRule="auto" w:before="147"/>
        <w:ind w:right="1410" w:firstLine="638"/>
        <w:jc w:val="both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  <w:spacing w:val="-6"/>
        </w:rPr>
        <w:t>七</w:t>
      </w:r>
      <w:r>
        <w:rPr>
          <w:rFonts w:ascii="楷体_GB2312" w:eastAsia="楷体_GB2312" w:hint="eastAsia"/>
          <w:spacing w:val="-20"/>
        </w:rPr>
        <w:t>）</w:t>
      </w:r>
      <w:r>
        <w:rPr>
          <w:rFonts w:ascii="楷体_GB2312" w:eastAsia="楷体_GB2312" w:hint="eastAsia"/>
          <w:spacing w:val="-8"/>
        </w:rPr>
        <w:t>支持高精尖企业申请国家级、市级政策。对上年度获</w:t>
      </w:r>
      <w:r>
        <w:rPr>
          <w:rFonts w:ascii="楷体_GB2312" w:eastAsia="楷体_GB2312" w:hint="eastAsia"/>
          <w:spacing w:val="-10"/>
        </w:rPr>
        <w:t>得国家级、市级政策支持资金的高精尖企业，按照其所获得的国</w:t>
      </w:r>
      <w:r>
        <w:rPr>
          <w:rFonts w:ascii="楷体_GB2312" w:eastAsia="楷体_GB2312" w:hint="eastAsia"/>
          <w:spacing w:val="-10"/>
          <w:position w:val="1"/>
        </w:rPr>
        <w:t>家</w:t>
      </w:r>
      <w:r>
        <w:rPr>
          <w:rFonts w:ascii="楷体_GB2312" w:eastAsia="楷体_GB2312" w:hint="eastAsia"/>
          <w:spacing w:val="-6"/>
          <w:position w:val="1"/>
        </w:rPr>
        <w:t>级</w:t>
      </w:r>
      <w:r>
        <w:rPr>
          <w:rFonts w:ascii="楷体_GB2312" w:eastAsia="楷体_GB2312" w:hint="eastAsia"/>
          <w:position w:val="1"/>
        </w:rPr>
        <w:t>、市</w:t>
      </w:r>
      <w:r>
        <w:rPr>
          <w:rFonts w:ascii="楷体_GB2312" w:eastAsia="楷体_GB2312" w:hint="eastAsia"/>
          <w:spacing w:val="-6"/>
          <w:position w:val="1"/>
        </w:rPr>
        <w:t>级</w:t>
      </w:r>
      <w:r>
        <w:rPr>
          <w:rFonts w:ascii="楷体_GB2312" w:eastAsia="楷体_GB2312" w:hint="eastAsia"/>
          <w:position w:val="1"/>
        </w:rPr>
        <w:t>政策</w:t>
      </w:r>
      <w:r>
        <w:rPr>
          <w:rFonts w:ascii="楷体_GB2312" w:eastAsia="楷体_GB2312" w:hint="eastAsia"/>
          <w:spacing w:val="-6"/>
          <w:position w:val="1"/>
        </w:rPr>
        <w:t>支</w:t>
      </w:r>
      <w:r>
        <w:rPr>
          <w:rFonts w:ascii="楷体_GB2312" w:eastAsia="楷体_GB2312" w:hint="eastAsia"/>
          <w:position w:val="1"/>
        </w:rPr>
        <w:t>持资</w:t>
      </w:r>
      <w:r>
        <w:rPr>
          <w:rFonts w:ascii="楷体_GB2312" w:eastAsia="楷体_GB2312" w:hint="eastAsia"/>
          <w:spacing w:val="-6"/>
          <w:position w:val="1"/>
        </w:rPr>
        <w:t>金</w:t>
      </w:r>
      <w:r>
        <w:rPr>
          <w:rFonts w:ascii="楷体_GB2312" w:eastAsia="楷体_GB2312" w:hint="eastAsia"/>
          <w:position w:val="1"/>
        </w:rPr>
        <w:t>额度</w:t>
      </w:r>
      <w:r>
        <w:rPr>
          <w:rFonts w:ascii="楷体_GB2312" w:eastAsia="楷体_GB2312" w:hint="eastAsia"/>
          <w:spacing w:val="-6"/>
          <w:position w:val="1"/>
        </w:rPr>
        <w:t>，</w:t>
      </w:r>
      <w:r>
        <w:rPr>
          <w:rFonts w:ascii="楷体_GB2312" w:eastAsia="楷体_GB2312" w:hint="eastAsia"/>
          <w:position w:val="1"/>
        </w:rPr>
        <w:t>给予</w:t>
      </w:r>
      <w:r>
        <w:rPr>
          <w:rFonts w:ascii="楷体_GB2312" w:eastAsia="楷体_GB2312" w:hint="eastAsia"/>
          <w:spacing w:val="-53"/>
          <w:position w:val="1"/>
        </w:rPr>
        <w:t> </w:t>
      </w:r>
      <w:r>
        <w:rPr>
          <w:rFonts w:ascii="楷体_GB2312" w:eastAsia="楷体_GB2312" w:hint="eastAsia"/>
          <w:position w:val="1"/>
        </w:rPr>
        <w:t>100</w:t>
      </w:r>
      <w:r>
        <w:rPr>
          <w:rFonts w:ascii="楷体_GB2312" w:eastAsia="楷体_GB2312" w:hint="eastAsia"/>
          <w:spacing w:val="7"/>
          <w:w w:val="100"/>
        </w:rPr>
        <w:drawing>
          <wp:inline distT="0" distB="0" distL="0" distR="0">
            <wp:extent cx="85724" cy="155574"/>
            <wp:effectExtent l="0" t="0" r="0" b="0"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_GB2312" w:eastAsia="楷体_GB2312" w:hint="eastAsia"/>
          <w:spacing w:val="7"/>
          <w:w w:val="100"/>
        </w:rPr>
      </w:r>
      <w:r>
        <w:rPr>
          <w:rFonts w:ascii="楷体_GB2312" w:eastAsia="楷体_GB2312" w:hint="eastAsia"/>
          <w:position w:val="1"/>
        </w:rPr>
        <w:t>区</w:t>
      </w:r>
      <w:r>
        <w:rPr>
          <w:rFonts w:ascii="楷体_GB2312" w:eastAsia="楷体_GB2312" w:hint="eastAsia"/>
          <w:spacing w:val="-6"/>
          <w:position w:val="1"/>
        </w:rPr>
        <w:t>级</w:t>
      </w:r>
      <w:r>
        <w:rPr>
          <w:rFonts w:ascii="楷体_GB2312" w:eastAsia="楷体_GB2312" w:hint="eastAsia"/>
          <w:position w:val="1"/>
        </w:rPr>
        <w:t>配套</w:t>
      </w:r>
      <w:r>
        <w:rPr>
          <w:rFonts w:ascii="楷体_GB2312" w:eastAsia="楷体_GB2312" w:hint="eastAsia"/>
          <w:spacing w:val="-6"/>
          <w:position w:val="1"/>
        </w:rPr>
        <w:t>资</w:t>
      </w:r>
      <w:r>
        <w:rPr>
          <w:rFonts w:ascii="楷体_GB2312" w:eastAsia="楷体_GB2312" w:hint="eastAsia"/>
          <w:position w:val="1"/>
        </w:rPr>
        <w:t>金支</w:t>
      </w:r>
      <w:r>
        <w:rPr>
          <w:rFonts w:ascii="楷体_GB2312" w:eastAsia="楷体_GB2312" w:hint="eastAsia"/>
          <w:spacing w:val="-6"/>
          <w:position w:val="1"/>
        </w:rPr>
        <w:t>持</w:t>
      </w:r>
      <w:r>
        <w:rPr>
          <w:rFonts w:ascii="楷体_GB2312" w:eastAsia="楷体_GB2312" w:hint="eastAsia"/>
          <w:position w:val="1"/>
        </w:rPr>
        <w:t>。</w:t>
      </w:r>
    </w:p>
    <w:p>
      <w:pPr>
        <w:pStyle w:val="ListParagraph"/>
        <w:numPr>
          <w:ilvl w:val="0"/>
          <w:numId w:val="14"/>
        </w:numPr>
        <w:tabs>
          <w:tab w:pos="1266" w:val="left" w:leader="none"/>
        </w:tabs>
        <w:spacing w:line="240" w:lineRule="auto" w:before="7" w:after="0"/>
        <w:ind w:left="1265" w:right="0" w:hanging="399"/>
        <w:jc w:val="both"/>
        <w:rPr>
          <w:sz w:val="32"/>
        </w:rPr>
      </w:pPr>
      <w:r>
        <w:rPr>
          <w:spacing w:val="-3"/>
          <w:sz w:val="32"/>
        </w:rPr>
        <w:t>须满足的条件</w:t>
      </w:r>
    </w:p>
    <w:p>
      <w:pPr>
        <w:pStyle w:val="BodyText"/>
        <w:spacing w:line="326" w:lineRule="auto" w:before="151"/>
        <w:ind w:right="1410" w:firstLine="638"/>
        <w:jc w:val="both"/>
      </w:pPr>
      <w:r>
        <w:rPr>
          <w:spacing w:val="-9"/>
        </w:rPr>
        <w:t>上年度获得国家级、北京市级各类政策支持资金，且没有从区级其他部门获得资金配套支持的高精尖企业。凡区级其他部门</w:t>
      </w:r>
      <w:r>
        <w:rPr>
          <w:spacing w:val="-6"/>
        </w:rPr>
        <w:t>已提供资金配套支持的，不再予以支持。</w:t>
      </w:r>
    </w:p>
    <w:p>
      <w:pPr>
        <w:pStyle w:val="ListParagraph"/>
        <w:numPr>
          <w:ilvl w:val="0"/>
          <w:numId w:val="14"/>
        </w:numPr>
        <w:tabs>
          <w:tab w:pos="1266" w:val="left" w:leader="none"/>
        </w:tabs>
        <w:spacing w:line="328" w:lineRule="auto" w:before="8" w:after="0"/>
        <w:ind w:left="867" w:right="7358" w:firstLine="0"/>
        <w:jc w:val="left"/>
        <w:rPr>
          <w:sz w:val="32"/>
        </w:rPr>
      </w:pPr>
      <w:r>
        <w:rPr>
          <w:spacing w:val="-5"/>
          <w:sz w:val="32"/>
        </w:rPr>
        <w:t>须提供的材料</w:t>
      </w:r>
      <w:r>
        <w:rPr>
          <w:sz w:val="32"/>
        </w:rPr>
        <w:t>(1</w:t>
      </w:r>
      <w:r>
        <w:rPr>
          <w:spacing w:val="-2"/>
          <w:sz w:val="32"/>
        </w:rPr>
        <w:t>)申报表；</w:t>
      </w:r>
    </w:p>
    <w:p>
      <w:pPr>
        <w:pStyle w:val="ListParagraph"/>
        <w:numPr>
          <w:ilvl w:val="0"/>
          <w:numId w:val="15"/>
        </w:numPr>
        <w:tabs>
          <w:tab w:pos="1351" w:val="left" w:leader="none"/>
        </w:tabs>
        <w:spacing w:line="405" w:lineRule="exact" w:before="0" w:after="0"/>
        <w:ind w:left="1350" w:right="0" w:hanging="484"/>
        <w:jc w:val="left"/>
        <w:rPr>
          <w:sz w:val="32"/>
        </w:rPr>
      </w:pPr>
      <w:r>
        <w:rPr>
          <w:spacing w:val="-4"/>
          <w:sz w:val="32"/>
        </w:rPr>
        <w:t>企业营业执照复印件；</w:t>
      </w:r>
    </w:p>
    <w:p>
      <w:pPr>
        <w:pStyle w:val="ListParagraph"/>
        <w:numPr>
          <w:ilvl w:val="0"/>
          <w:numId w:val="15"/>
        </w:numPr>
        <w:tabs>
          <w:tab w:pos="1352" w:val="left" w:leader="none"/>
        </w:tabs>
        <w:spacing w:line="328" w:lineRule="auto" w:before="151" w:after="0"/>
        <w:ind w:left="228" w:right="1415" w:firstLine="638"/>
        <w:jc w:val="left"/>
        <w:rPr>
          <w:sz w:val="32"/>
        </w:rPr>
      </w:pPr>
      <w:r>
        <w:rPr>
          <w:sz w:val="32"/>
        </w:rPr>
        <w:t>企业获得国家级、北京市级各类政策支持资金的相关证</w:t>
      </w:r>
      <w:r>
        <w:rPr>
          <w:spacing w:val="-6"/>
          <w:sz w:val="32"/>
        </w:rPr>
        <w:t>书、资金收款凭证等证明材料复印件；</w:t>
      </w:r>
    </w:p>
    <w:p>
      <w:pPr>
        <w:pStyle w:val="ListParagraph"/>
        <w:numPr>
          <w:ilvl w:val="0"/>
          <w:numId w:val="15"/>
        </w:numPr>
        <w:tabs>
          <w:tab w:pos="1351" w:val="left" w:leader="none"/>
        </w:tabs>
        <w:spacing w:line="328" w:lineRule="auto" w:before="0" w:after="0"/>
        <w:ind w:left="867" w:right="3753" w:firstLine="0"/>
        <w:jc w:val="left"/>
        <w:rPr>
          <w:sz w:val="32"/>
        </w:rPr>
      </w:pPr>
      <w:r>
        <w:rPr>
          <w:spacing w:val="-6"/>
          <w:sz w:val="32"/>
        </w:rPr>
        <w:t>未获得区级相关部门资金支持承诺书； (5</w:t>
      </w:r>
      <w:r>
        <w:rPr>
          <w:spacing w:val="-5"/>
          <w:sz w:val="32"/>
        </w:rPr>
        <w:t>)其他有关材料。</w:t>
      </w:r>
    </w:p>
    <w:p>
      <w:pPr>
        <w:pStyle w:val="BodyText"/>
        <w:spacing w:line="326" w:lineRule="auto"/>
        <w:ind w:right="1252" w:firstLine="638"/>
        <w:jc w:val="both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  <w:spacing w:val="-6"/>
        </w:rPr>
        <w:t>八</w:t>
      </w:r>
      <w:r>
        <w:rPr>
          <w:rFonts w:ascii="楷体_GB2312" w:eastAsia="楷体_GB2312" w:hint="eastAsia"/>
          <w:spacing w:val="-30"/>
        </w:rPr>
        <w:t>）</w:t>
      </w:r>
      <w:r>
        <w:rPr>
          <w:rFonts w:ascii="楷体_GB2312" w:eastAsia="楷体_GB2312" w:hint="eastAsia"/>
          <w:spacing w:val="-7"/>
        </w:rPr>
        <w:t>支持高精尖企业融资。对上年度贷款或融资租赁项目300</w:t>
      </w:r>
      <w:r>
        <w:rPr>
          <w:rFonts w:ascii="楷体_GB2312" w:eastAsia="楷体_GB2312" w:hint="eastAsia"/>
          <w:spacing w:val="-36"/>
        </w:rPr>
        <w:t> 万元</w:t>
      </w:r>
      <w:r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  <w:spacing w:val="-6"/>
        </w:rPr>
        <w:t>含</w:t>
      </w:r>
      <w:r>
        <w:rPr>
          <w:rFonts w:ascii="楷体_GB2312" w:eastAsia="楷体_GB2312" w:hint="eastAsia"/>
          <w:spacing w:val="-49"/>
        </w:rPr>
        <w:t>）</w:t>
      </w:r>
      <w:r>
        <w:rPr>
          <w:rFonts w:ascii="楷体_GB2312" w:eastAsia="楷体_GB2312" w:hint="eastAsia"/>
          <w:spacing w:val="-9"/>
        </w:rPr>
        <w:t>以上的高精尖企业，按照同期银行贷款基准利率，</w:t>
      </w:r>
    </w:p>
    <w:p>
      <w:pPr>
        <w:spacing w:after="0" w:line="326" w:lineRule="auto"/>
        <w:jc w:val="both"/>
        <w:rPr>
          <w:rFonts w:ascii="楷体_GB2312" w:eastAsia="楷体_GB2312" w:hint="eastAsia"/>
        </w:rPr>
        <w:sectPr>
          <w:pgSz w:w="11910" w:h="16840"/>
          <w:pgMar w:header="0" w:footer="954" w:top="1580" w:bottom="1140" w:left="1360" w:right="0"/>
        </w:sectPr>
      </w:pPr>
    </w:p>
    <w:p>
      <w:pPr>
        <w:pStyle w:val="BodyText"/>
        <w:ind w:left="0"/>
        <w:rPr>
          <w:rFonts w:ascii="楷体_GB2312"/>
          <w:sz w:val="20"/>
        </w:rPr>
      </w:pPr>
      <w:r>
        <w:rPr/>
        <w:pict>
          <v:shape style="position:absolute;margin-left:14.101753pt;margin-top:401.402161pt;width:576pt;height:48pt;mso-position-horizontal-relative:page;mso-position-vertical-relative:page;z-index:-252086272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11"/>
        <w:ind w:left="0"/>
        <w:rPr>
          <w:rFonts w:ascii="楷体_GB2312"/>
          <w:sz w:val="15"/>
        </w:rPr>
      </w:pPr>
    </w:p>
    <w:p>
      <w:pPr>
        <w:pStyle w:val="BodyText"/>
        <w:spacing w:before="57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给予最高不超过三年、每年最高不超过 500 万元的贴息支持。</w:t>
      </w:r>
    </w:p>
    <w:p>
      <w:pPr>
        <w:pStyle w:val="ListParagraph"/>
        <w:numPr>
          <w:ilvl w:val="0"/>
          <w:numId w:val="16"/>
        </w:numPr>
        <w:tabs>
          <w:tab w:pos="1266" w:val="left" w:leader="none"/>
        </w:tabs>
        <w:spacing w:line="240" w:lineRule="auto" w:before="147" w:after="0"/>
        <w:ind w:left="1265" w:right="0" w:hanging="399"/>
        <w:jc w:val="both"/>
        <w:rPr>
          <w:sz w:val="32"/>
        </w:rPr>
      </w:pPr>
      <w:r>
        <w:rPr>
          <w:spacing w:val="-2"/>
          <w:sz w:val="32"/>
        </w:rPr>
        <w:t>须满足的条件</w:t>
      </w:r>
    </w:p>
    <w:p>
      <w:pPr>
        <w:pStyle w:val="BodyText"/>
        <w:spacing w:line="328" w:lineRule="auto" w:before="151"/>
        <w:ind w:right="1410" w:firstLine="638"/>
        <w:jc w:val="both"/>
      </w:pPr>
      <w:r>
        <w:rPr>
          <w:spacing w:val="-10"/>
        </w:rPr>
        <w:t>上年度贷款或融资租赁项目 </w:t>
      </w:r>
      <w:r>
        <w:rPr/>
        <w:t>300</w:t>
      </w:r>
      <w:r>
        <w:rPr>
          <w:spacing w:val="-34"/>
        </w:rPr>
        <w:t> 万元</w:t>
      </w:r>
      <w:r>
        <w:rPr>
          <w:spacing w:val="-6"/>
        </w:rPr>
        <w:t>（</w:t>
      </w:r>
      <w:r>
        <w:rPr/>
        <w:t>含</w:t>
      </w:r>
      <w:r>
        <w:rPr>
          <w:spacing w:val="-30"/>
        </w:rPr>
        <w:t>）</w:t>
      </w:r>
      <w:r>
        <w:rPr>
          <w:spacing w:val="-3"/>
        </w:rPr>
        <w:t>以上的高精尖企</w:t>
      </w:r>
      <w:r>
        <w:rPr>
          <w:spacing w:val="-9"/>
        </w:rPr>
        <w:t>业。利率按照同期中国人民银行贷款基准利率计算。若企业已获</w:t>
      </w:r>
      <w:r>
        <w:rPr>
          <w:spacing w:val="-11"/>
        </w:rPr>
        <w:t>得市级或区级其他部门利息、租息补助的，则支持资金总额不超</w:t>
      </w:r>
      <w:r>
        <w:rPr>
          <w:spacing w:val="-6"/>
        </w:rPr>
        <w:t>过企业的实际发生利息或租息的总额。</w:t>
      </w:r>
    </w:p>
    <w:p>
      <w:pPr>
        <w:pStyle w:val="ListParagraph"/>
        <w:numPr>
          <w:ilvl w:val="0"/>
          <w:numId w:val="16"/>
        </w:numPr>
        <w:tabs>
          <w:tab w:pos="1266" w:val="left" w:leader="none"/>
        </w:tabs>
        <w:spacing w:line="326" w:lineRule="auto" w:before="0" w:after="0"/>
        <w:ind w:left="867" w:right="7353" w:firstLine="0"/>
        <w:jc w:val="left"/>
        <w:rPr>
          <w:sz w:val="32"/>
        </w:rPr>
      </w:pPr>
      <w:r>
        <w:rPr>
          <w:spacing w:val="-4"/>
          <w:sz w:val="32"/>
        </w:rPr>
        <w:t>须提供的材料</w:t>
      </w:r>
      <w:r>
        <w:rPr>
          <w:sz w:val="32"/>
        </w:rPr>
        <w:t>(1</w:t>
      </w:r>
      <w:r>
        <w:rPr>
          <w:spacing w:val="-2"/>
          <w:sz w:val="32"/>
        </w:rPr>
        <w:t>)申报表；</w:t>
      </w:r>
    </w:p>
    <w:p>
      <w:pPr>
        <w:pStyle w:val="ListParagraph"/>
        <w:numPr>
          <w:ilvl w:val="0"/>
          <w:numId w:val="17"/>
        </w:numPr>
        <w:tabs>
          <w:tab w:pos="1351" w:val="left" w:leader="none"/>
        </w:tabs>
        <w:spacing w:line="240" w:lineRule="auto" w:before="0" w:after="0"/>
        <w:ind w:left="1350" w:right="0" w:hanging="484"/>
        <w:jc w:val="left"/>
        <w:rPr>
          <w:sz w:val="32"/>
        </w:rPr>
      </w:pPr>
      <w:r>
        <w:rPr>
          <w:spacing w:val="-4"/>
          <w:sz w:val="32"/>
        </w:rPr>
        <w:t>企业营业执照复印件；</w:t>
      </w:r>
    </w:p>
    <w:p>
      <w:pPr>
        <w:pStyle w:val="ListParagraph"/>
        <w:numPr>
          <w:ilvl w:val="0"/>
          <w:numId w:val="17"/>
        </w:numPr>
        <w:tabs>
          <w:tab w:pos="1352" w:val="left" w:leader="none"/>
        </w:tabs>
        <w:spacing w:line="326" w:lineRule="auto" w:before="150" w:after="0"/>
        <w:ind w:left="228" w:right="1415" w:firstLine="638"/>
        <w:jc w:val="left"/>
        <w:rPr>
          <w:sz w:val="32"/>
        </w:rPr>
      </w:pPr>
      <w:r>
        <w:rPr>
          <w:sz w:val="32"/>
        </w:rPr>
        <w:t>企业所属项目在大兴区取得立项审批的文件等证明材料</w:t>
      </w:r>
      <w:r>
        <w:rPr>
          <w:spacing w:val="-2"/>
          <w:sz w:val="32"/>
        </w:rPr>
        <w:t>复印件；</w:t>
      </w:r>
    </w:p>
    <w:p>
      <w:pPr>
        <w:pStyle w:val="ListParagraph"/>
        <w:numPr>
          <w:ilvl w:val="0"/>
          <w:numId w:val="17"/>
        </w:numPr>
        <w:tabs>
          <w:tab w:pos="1351" w:val="left" w:leader="none"/>
        </w:tabs>
        <w:spacing w:line="326" w:lineRule="auto" w:before="3" w:after="0"/>
        <w:ind w:left="228" w:right="1252" w:firstLine="638"/>
        <w:jc w:val="left"/>
        <w:rPr>
          <w:sz w:val="32"/>
        </w:rPr>
      </w:pPr>
      <w:r>
        <w:rPr>
          <w:spacing w:val="-10"/>
          <w:sz w:val="32"/>
        </w:rPr>
        <w:t>企业与银行、融资租赁机构的贷款合同、融资租赁合同， </w:t>
      </w:r>
      <w:r>
        <w:rPr>
          <w:spacing w:val="3"/>
          <w:sz w:val="32"/>
        </w:rPr>
        <w:t>以及在上年度支付利息、租息的资金支付凭证等证明材料复印件；</w:t>
      </w:r>
    </w:p>
    <w:p>
      <w:pPr>
        <w:pStyle w:val="ListParagraph"/>
        <w:numPr>
          <w:ilvl w:val="0"/>
          <w:numId w:val="17"/>
        </w:numPr>
        <w:tabs>
          <w:tab w:pos="1352" w:val="left" w:leader="none"/>
        </w:tabs>
        <w:spacing w:line="326" w:lineRule="auto" w:before="7" w:after="0"/>
        <w:ind w:left="228" w:right="1415" w:firstLine="638"/>
        <w:jc w:val="both"/>
        <w:rPr>
          <w:sz w:val="32"/>
        </w:rPr>
      </w:pPr>
      <w:r>
        <w:rPr>
          <w:sz w:val="32"/>
        </w:rPr>
        <w:t>企业已获得市级或区级其他部门利息、租息补助的资金</w:t>
      </w:r>
      <w:r>
        <w:rPr>
          <w:spacing w:val="-10"/>
          <w:sz w:val="32"/>
        </w:rPr>
        <w:t>收款凭证等证明材料复印件及承诺书；未获得补助的企业提供未</w:t>
      </w:r>
      <w:r>
        <w:rPr>
          <w:spacing w:val="-6"/>
          <w:sz w:val="32"/>
        </w:rPr>
        <w:t>获得利息、租息补助承诺书。</w:t>
      </w:r>
    </w:p>
    <w:p>
      <w:pPr>
        <w:pStyle w:val="ListParagraph"/>
        <w:numPr>
          <w:ilvl w:val="0"/>
          <w:numId w:val="17"/>
        </w:numPr>
        <w:tabs>
          <w:tab w:pos="1351" w:val="left" w:leader="none"/>
        </w:tabs>
        <w:spacing w:line="240" w:lineRule="auto" w:before="7" w:after="0"/>
        <w:ind w:left="1350" w:right="0" w:hanging="484"/>
        <w:jc w:val="left"/>
        <w:rPr>
          <w:sz w:val="32"/>
        </w:rPr>
      </w:pPr>
      <w:r>
        <w:rPr>
          <w:spacing w:val="-3"/>
          <w:sz w:val="32"/>
        </w:rPr>
        <w:t>其他有关材料。</w:t>
      </w:r>
    </w:p>
    <w:p>
      <w:pPr>
        <w:pStyle w:val="BodyText"/>
        <w:spacing w:before="152"/>
        <w:ind w:left="867"/>
      </w:pPr>
      <w:r>
        <w:rPr>
          <w:rFonts w:ascii="黑体" w:eastAsia="黑体" w:hint="eastAsia"/>
        </w:rPr>
        <w:t>第四条 </w:t>
      </w:r>
      <w:r>
        <w:rPr/>
        <w:t>支持医药健康产业集聚发展</w:t>
      </w:r>
    </w:p>
    <w:p>
      <w:pPr>
        <w:pStyle w:val="BodyText"/>
        <w:spacing w:line="328" w:lineRule="auto" w:before="147"/>
        <w:ind w:right="1410" w:firstLine="638"/>
        <w:jc w:val="both"/>
        <w:rPr>
          <w:rFonts w:ascii="楷体_GB2312" w:eastAsia="楷体_GB2312" w:hint="eastAsia"/>
        </w:rPr>
      </w:pPr>
      <w:r>
        <w:rPr>
          <w:rFonts w:ascii="楷体_GB2312" w:eastAsia="楷体_GB2312" w:hint="eastAsia"/>
          <w:spacing w:val="-1"/>
        </w:rPr>
        <w:t>（</w:t>
      </w:r>
      <w:r>
        <w:rPr>
          <w:rFonts w:ascii="楷体_GB2312" w:eastAsia="楷体_GB2312" w:hint="eastAsia"/>
          <w:spacing w:val="-6"/>
        </w:rPr>
        <w:t>九</w:t>
      </w:r>
      <w:r>
        <w:rPr>
          <w:rFonts w:ascii="楷体_GB2312" w:eastAsia="楷体_GB2312" w:hint="eastAsia"/>
          <w:spacing w:val="-130"/>
        </w:rPr>
        <w:t>）</w:t>
      </w:r>
      <w:r>
        <w:rPr>
          <w:rFonts w:ascii="楷体_GB2312" w:eastAsia="楷体_GB2312" w:hint="eastAsia"/>
          <w:spacing w:val="-20"/>
        </w:rPr>
        <w:t>支持高精尖企业研发投入。对获得新药或医疗器械</w:t>
      </w:r>
      <w:r>
        <w:rPr>
          <w:rFonts w:ascii="楷体_GB2312" w:eastAsia="楷体_GB2312" w:hint="eastAsia"/>
        </w:rPr>
        <w:t>（仅</w:t>
      </w:r>
      <w:r>
        <w:rPr>
          <w:rFonts w:ascii="楷体_GB2312" w:eastAsia="楷体_GB2312" w:hint="eastAsia"/>
          <w:spacing w:val="-4"/>
        </w:rPr>
        <w:t>限医疗器械三类</w:t>
      </w:r>
      <w:r>
        <w:rPr>
          <w:rFonts w:ascii="楷体_GB2312" w:eastAsia="楷体_GB2312" w:hint="eastAsia"/>
          <w:spacing w:val="-30"/>
        </w:rPr>
        <w:t>）</w:t>
      </w:r>
      <w:r>
        <w:rPr>
          <w:rFonts w:ascii="楷体_GB2312" w:eastAsia="楷体_GB2312" w:hint="eastAsia"/>
          <w:spacing w:val="-8"/>
        </w:rPr>
        <w:t>证书以及生产批件的高精尖企业，按照其近五年</w:t>
      </w:r>
      <w:r>
        <w:rPr>
          <w:rFonts w:ascii="楷体_GB2312" w:eastAsia="楷体_GB2312" w:hint="eastAsia"/>
          <w:spacing w:val="-6"/>
        </w:rPr>
        <w:t>内</w:t>
      </w:r>
      <w:r>
        <w:rPr>
          <w:rFonts w:ascii="楷体_GB2312" w:eastAsia="楷体_GB2312" w:hint="eastAsia"/>
        </w:rPr>
        <w:t>在大</w:t>
      </w:r>
      <w:r>
        <w:rPr>
          <w:rFonts w:ascii="楷体_GB2312" w:eastAsia="楷体_GB2312" w:hint="eastAsia"/>
          <w:spacing w:val="-6"/>
        </w:rPr>
        <w:t>兴</w:t>
      </w:r>
      <w:r>
        <w:rPr>
          <w:rFonts w:ascii="楷体_GB2312" w:eastAsia="楷体_GB2312" w:hint="eastAsia"/>
        </w:rPr>
        <w:t>区内</w:t>
      </w:r>
      <w:r>
        <w:rPr>
          <w:rFonts w:ascii="楷体_GB2312" w:eastAsia="楷体_GB2312" w:hint="eastAsia"/>
          <w:spacing w:val="-6"/>
        </w:rPr>
        <w:t>实</w:t>
      </w:r>
      <w:r>
        <w:rPr>
          <w:rFonts w:ascii="楷体_GB2312" w:eastAsia="楷体_GB2312" w:hint="eastAsia"/>
        </w:rPr>
        <w:t>际研</w:t>
      </w:r>
      <w:r>
        <w:rPr>
          <w:rFonts w:ascii="楷体_GB2312" w:eastAsia="楷体_GB2312" w:hint="eastAsia"/>
          <w:spacing w:val="-6"/>
        </w:rPr>
        <w:t>发</w:t>
      </w:r>
      <w:r>
        <w:rPr>
          <w:rFonts w:ascii="楷体_GB2312" w:eastAsia="楷体_GB2312" w:hint="eastAsia"/>
        </w:rPr>
        <w:t>投入</w:t>
      </w:r>
      <w:r>
        <w:rPr>
          <w:rFonts w:ascii="楷体_GB2312" w:eastAsia="楷体_GB2312" w:hint="eastAsia"/>
          <w:spacing w:val="-6"/>
        </w:rPr>
        <w:t>总</w:t>
      </w:r>
      <w:r>
        <w:rPr>
          <w:rFonts w:ascii="楷体_GB2312" w:eastAsia="楷体_GB2312" w:hint="eastAsia"/>
        </w:rPr>
        <w:t>额的</w:t>
      </w:r>
      <w:r>
        <w:rPr>
          <w:rFonts w:ascii="楷体_GB2312" w:eastAsia="楷体_GB2312" w:hint="eastAsia"/>
          <w:spacing w:val="-59"/>
        </w:rPr>
        <w:t> </w:t>
      </w:r>
      <w:r>
        <w:rPr>
          <w:rFonts w:ascii="楷体_GB2312" w:eastAsia="楷体_GB2312" w:hint="eastAsia"/>
          <w:spacing w:val="4"/>
        </w:rPr>
        <w:t>40</w:t>
      </w:r>
      <w:r>
        <w:rPr>
          <w:rFonts w:ascii="楷体_GB2312" w:eastAsia="楷体_GB2312" w:hint="eastAsia"/>
          <w:spacing w:val="7"/>
          <w:w w:val="100"/>
        </w:rPr>
        <w:drawing>
          <wp:inline distT="0" distB="0" distL="0" distR="0">
            <wp:extent cx="85724" cy="155574"/>
            <wp:effectExtent l="0" t="0" r="0" b="0"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_GB2312" w:eastAsia="楷体_GB2312" w:hint="eastAsia"/>
          <w:spacing w:val="7"/>
          <w:w w:val="100"/>
        </w:rPr>
      </w:r>
      <w:r>
        <w:rPr>
          <w:rFonts w:ascii="楷体_GB2312" w:eastAsia="楷体_GB2312" w:hint="eastAsia"/>
          <w:spacing w:val="-58"/>
        </w:rPr>
        <w:t>，</w:t>
      </w:r>
      <w:r>
        <w:rPr>
          <w:rFonts w:ascii="楷体_GB2312" w:eastAsia="楷体_GB2312" w:hint="eastAsia"/>
        </w:rPr>
        <w:t>给</w:t>
      </w:r>
      <w:r>
        <w:rPr>
          <w:rFonts w:ascii="楷体_GB2312" w:eastAsia="楷体_GB2312" w:hint="eastAsia"/>
          <w:spacing w:val="-6"/>
        </w:rPr>
        <w:t>予</w:t>
      </w:r>
      <w:r>
        <w:rPr>
          <w:rFonts w:ascii="楷体_GB2312" w:eastAsia="楷体_GB2312" w:hint="eastAsia"/>
        </w:rPr>
        <w:t>最高</w:t>
      </w:r>
      <w:r>
        <w:rPr>
          <w:rFonts w:ascii="楷体_GB2312" w:eastAsia="楷体_GB2312" w:hint="eastAsia"/>
          <w:spacing w:val="-6"/>
        </w:rPr>
        <w:t>不</w:t>
      </w:r>
      <w:r>
        <w:rPr>
          <w:rFonts w:ascii="楷体_GB2312" w:eastAsia="楷体_GB2312" w:hint="eastAsia"/>
        </w:rPr>
        <w:t>超过</w:t>
      </w:r>
      <w:r>
        <w:rPr>
          <w:rFonts w:ascii="楷体_GB2312" w:eastAsia="楷体_GB2312" w:hint="eastAsia"/>
          <w:spacing w:val="-77"/>
        </w:rPr>
        <w:t> </w:t>
      </w:r>
      <w:r>
        <w:rPr>
          <w:rFonts w:ascii="楷体_GB2312" w:eastAsia="楷体_GB2312" w:hint="eastAsia"/>
        </w:rPr>
        <w:t>1000 </w:t>
      </w:r>
      <w:r>
        <w:rPr>
          <w:rFonts w:ascii="楷体_GB2312" w:eastAsia="楷体_GB2312" w:hint="eastAsia"/>
          <w:spacing w:val="-4"/>
        </w:rPr>
        <w:t>万元一次性支持资金。</w:t>
      </w:r>
    </w:p>
    <w:p>
      <w:pPr>
        <w:spacing w:after="0" w:line="328" w:lineRule="auto"/>
        <w:jc w:val="both"/>
        <w:rPr>
          <w:rFonts w:ascii="楷体_GB2312" w:eastAsia="楷体_GB2312" w:hint="eastAsia"/>
        </w:rPr>
        <w:sectPr>
          <w:pgSz w:w="11910" w:h="16840"/>
          <w:pgMar w:header="0" w:footer="954" w:top="1580" w:bottom="1140" w:left="1360" w:right="0"/>
        </w:sectPr>
      </w:pPr>
    </w:p>
    <w:p>
      <w:pPr>
        <w:pStyle w:val="BodyText"/>
        <w:ind w:left="0"/>
        <w:rPr>
          <w:rFonts w:ascii="楷体_GB2312"/>
          <w:sz w:val="20"/>
        </w:rPr>
      </w:pPr>
      <w:r>
        <w:rPr/>
        <w:pict>
          <v:shape style="position:absolute;margin-left:14.101753pt;margin-top:401.402161pt;width:576pt;height:48pt;mso-position-horizontal-relative:page;mso-position-vertical-relative:page;z-index:-252085248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1"/>
        <w:ind w:left="0"/>
        <w:rPr>
          <w:rFonts w:ascii="楷体_GB2312"/>
          <w:sz w:val="15"/>
        </w:rPr>
      </w:pPr>
    </w:p>
    <w:p>
      <w:pPr>
        <w:pStyle w:val="ListParagraph"/>
        <w:numPr>
          <w:ilvl w:val="0"/>
          <w:numId w:val="18"/>
        </w:numPr>
        <w:tabs>
          <w:tab w:pos="1266" w:val="left" w:leader="none"/>
        </w:tabs>
        <w:spacing w:line="240" w:lineRule="auto" w:before="67" w:after="0"/>
        <w:ind w:left="1265" w:right="0" w:hanging="399"/>
        <w:jc w:val="both"/>
        <w:rPr>
          <w:sz w:val="32"/>
        </w:rPr>
      </w:pPr>
      <w:r>
        <w:rPr>
          <w:spacing w:val="-2"/>
          <w:sz w:val="32"/>
        </w:rPr>
        <w:t>须满足的条件</w:t>
      </w:r>
    </w:p>
    <w:p>
      <w:pPr>
        <w:pStyle w:val="BodyText"/>
        <w:spacing w:line="328" w:lineRule="auto" w:before="147"/>
        <w:ind w:right="1353" w:firstLine="638"/>
        <w:jc w:val="both"/>
      </w:pPr>
      <w:r>
        <w:rPr/>
        <w:t>具有独立自主知识产权、且在上年度新药研发取得临床批件并进入Ⅰ期、Ⅱ期、Ⅲ期临床试验的高精尖企业；具有独立自主知识产权、且在上年度获得医疗器械（仅限第三类医疗器械）证书以及生产批件的高精尖企业进入临床试验阶段的高精尖企业。</w:t>
      </w:r>
    </w:p>
    <w:p>
      <w:pPr>
        <w:pStyle w:val="ListParagraph"/>
        <w:numPr>
          <w:ilvl w:val="0"/>
          <w:numId w:val="18"/>
        </w:numPr>
        <w:tabs>
          <w:tab w:pos="1266" w:val="left" w:leader="none"/>
        </w:tabs>
        <w:spacing w:line="328" w:lineRule="auto" w:before="0" w:after="0"/>
        <w:ind w:left="867" w:right="7358" w:firstLine="0"/>
        <w:jc w:val="left"/>
        <w:rPr>
          <w:sz w:val="32"/>
        </w:rPr>
      </w:pPr>
      <w:r>
        <w:rPr>
          <w:spacing w:val="-5"/>
          <w:sz w:val="32"/>
        </w:rPr>
        <w:t>须提供的材料</w:t>
      </w:r>
      <w:r>
        <w:rPr>
          <w:sz w:val="32"/>
        </w:rPr>
        <w:t>(1</w:t>
      </w:r>
      <w:r>
        <w:rPr>
          <w:spacing w:val="-2"/>
          <w:sz w:val="32"/>
        </w:rPr>
        <w:t>)申报表；</w:t>
      </w:r>
    </w:p>
    <w:p>
      <w:pPr>
        <w:pStyle w:val="ListParagraph"/>
        <w:numPr>
          <w:ilvl w:val="0"/>
          <w:numId w:val="19"/>
        </w:numPr>
        <w:tabs>
          <w:tab w:pos="1351" w:val="left" w:leader="none"/>
        </w:tabs>
        <w:spacing w:line="405" w:lineRule="exact" w:before="0" w:after="0"/>
        <w:ind w:left="1350" w:right="0" w:hanging="484"/>
        <w:jc w:val="left"/>
        <w:rPr>
          <w:sz w:val="32"/>
        </w:rPr>
      </w:pPr>
      <w:r>
        <w:rPr>
          <w:spacing w:val="-4"/>
          <w:sz w:val="32"/>
        </w:rPr>
        <w:t>企业营业执照复印件；</w:t>
      </w:r>
    </w:p>
    <w:p>
      <w:pPr>
        <w:pStyle w:val="ListParagraph"/>
        <w:numPr>
          <w:ilvl w:val="0"/>
          <w:numId w:val="19"/>
        </w:numPr>
        <w:tabs>
          <w:tab w:pos="1351" w:val="left" w:leader="none"/>
        </w:tabs>
        <w:spacing w:line="240" w:lineRule="auto" w:before="146" w:after="0"/>
        <w:ind w:left="1350" w:right="0" w:hanging="484"/>
        <w:jc w:val="left"/>
        <w:rPr>
          <w:sz w:val="32"/>
        </w:rPr>
      </w:pPr>
      <w:r>
        <w:rPr>
          <w:spacing w:val="-6"/>
          <w:sz w:val="32"/>
        </w:rPr>
        <w:t>企业知识产权授权证书等证明材料复印件；</w:t>
      </w:r>
    </w:p>
    <w:p>
      <w:pPr>
        <w:pStyle w:val="ListParagraph"/>
        <w:numPr>
          <w:ilvl w:val="0"/>
          <w:numId w:val="19"/>
        </w:numPr>
        <w:tabs>
          <w:tab w:pos="1352" w:val="left" w:leader="none"/>
        </w:tabs>
        <w:spacing w:line="326" w:lineRule="auto" w:before="152" w:after="0"/>
        <w:ind w:left="228" w:right="1410" w:firstLine="638"/>
        <w:jc w:val="both"/>
        <w:rPr>
          <w:sz w:val="32"/>
        </w:rPr>
      </w:pPr>
      <w:r>
        <w:rPr>
          <w:sz w:val="32"/>
        </w:rPr>
        <w:t>在上年度新药研发进入Ⅰ期、Ⅱ期、Ⅲ期临床试验，或</w:t>
      </w:r>
      <w:r>
        <w:rPr>
          <w:spacing w:val="-11"/>
          <w:sz w:val="32"/>
        </w:rPr>
        <w:t>医疗器械</w:t>
      </w:r>
      <w:r>
        <w:rPr>
          <w:sz w:val="32"/>
        </w:rPr>
        <w:t>（</w:t>
      </w:r>
      <w:r>
        <w:rPr>
          <w:spacing w:val="-4"/>
          <w:sz w:val="32"/>
        </w:rPr>
        <w:t>仅限第三类医疗器械</w:t>
      </w:r>
      <w:r>
        <w:rPr>
          <w:spacing w:val="-30"/>
          <w:sz w:val="32"/>
        </w:rPr>
        <w:t>）</w:t>
      </w:r>
      <w:r>
        <w:rPr>
          <w:spacing w:val="-5"/>
          <w:sz w:val="32"/>
        </w:rPr>
        <w:t>进入临床试验阶段的批件等证</w:t>
      </w:r>
      <w:r>
        <w:rPr>
          <w:spacing w:val="-4"/>
          <w:sz w:val="32"/>
        </w:rPr>
        <w:t>明材料复印件；</w:t>
      </w:r>
    </w:p>
    <w:p>
      <w:pPr>
        <w:pStyle w:val="ListParagraph"/>
        <w:numPr>
          <w:ilvl w:val="0"/>
          <w:numId w:val="19"/>
        </w:numPr>
        <w:tabs>
          <w:tab w:pos="1352" w:val="left" w:leader="none"/>
        </w:tabs>
        <w:spacing w:line="326" w:lineRule="auto" w:before="7" w:after="0"/>
        <w:ind w:left="228" w:right="1410" w:firstLine="638"/>
        <w:jc w:val="left"/>
        <w:rPr>
          <w:sz w:val="32"/>
        </w:rPr>
      </w:pPr>
      <w:r>
        <w:rPr>
          <w:sz w:val="32"/>
        </w:rPr>
        <w:t>具有相关资质的专业审计机构出具的，能够证明企业近</w:t>
      </w:r>
      <w:r>
        <w:rPr>
          <w:spacing w:val="-6"/>
          <w:sz w:val="32"/>
        </w:rPr>
        <w:t>五年内实际研发投入的财务审计报告；</w:t>
      </w:r>
    </w:p>
    <w:p>
      <w:pPr>
        <w:pStyle w:val="ListParagraph"/>
        <w:numPr>
          <w:ilvl w:val="0"/>
          <w:numId w:val="19"/>
        </w:numPr>
        <w:tabs>
          <w:tab w:pos="1351" w:val="left" w:leader="none"/>
        </w:tabs>
        <w:spacing w:line="240" w:lineRule="auto" w:before="3" w:after="0"/>
        <w:ind w:left="1350" w:right="0" w:hanging="484"/>
        <w:jc w:val="left"/>
        <w:rPr>
          <w:sz w:val="32"/>
        </w:rPr>
      </w:pPr>
      <w:r>
        <w:rPr>
          <w:spacing w:val="-3"/>
          <w:sz w:val="32"/>
        </w:rPr>
        <w:t>其他有关材料。</w:t>
      </w:r>
    </w:p>
    <w:p>
      <w:pPr>
        <w:pStyle w:val="BodyText"/>
        <w:spacing w:line="326" w:lineRule="auto" w:before="152"/>
        <w:ind w:right="1252" w:firstLine="638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  <w:spacing w:val="-6"/>
        </w:rPr>
        <w:t>十</w:t>
      </w:r>
      <w:r>
        <w:rPr>
          <w:rFonts w:ascii="楷体_GB2312" w:eastAsia="楷体_GB2312" w:hint="eastAsia"/>
          <w:spacing w:val="-20"/>
        </w:rPr>
        <w:t>）</w:t>
      </w:r>
      <w:r>
        <w:rPr>
          <w:rFonts w:ascii="楷体_GB2312" w:eastAsia="楷体_GB2312" w:hint="eastAsia"/>
          <w:spacing w:val="-9"/>
        </w:rPr>
        <w:t>支持高精尖企业申报国际注册、认证。对获得美国食</w:t>
      </w:r>
      <w:r>
        <w:rPr>
          <w:rFonts w:ascii="楷体_GB2312" w:eastAsia="楷体_GB2312" w:hint="eastAsia"/>
          <w:spacing w:val="-6"/>
          <w:w w:val="100"/>
        </w:rPr>
        <w:t>品药品监督管理局</w:t>
      </w:r>
      <w:r>
        <w:rPr>
          <w:rFonts w:ascii="楷体_GB2312" w:eastAsia="楷体_GB2312" w:hint="eastAsia"/>
          <w:spacing w:val="-1"/>
          <w:w w:val="100"/>
        </w:rPr>
        <w:t>（</w:t>
      </w:r>
      <w:r>
        <w:rPr>
          <w:rFonts w:ascii="楷体_GB2312" w:eastAsia="楷体_GB2312" w:hint="eastAsia"/>
          <w:spacing w:val="2"/>
          <w:w w:val="100"/>
        </w:rPr>
        <w:t>F</w:t>
      </w:r>
      <w:r>
        <w:rPr>
          <w:rFonts w:ascii="楷体_GB2312" w:eastAsia="楷体_GB2312" w:hint="eastAsia"/>
          <w:spacing w:val="-3"/>
          <w:w w:val="100"/>
        </w:rPr>
        <w:t>DA</w:t>
      </w:r>
      <w:r>
        <w:rPr>
          <w:rFonts w:ascii="楷体_GB2312" w:eastAsia="楷体_GB2312" w:hint="eastAsia"/>
          <w:spacing w:val="-164"/>
          <w:w w:val="100"/>
        </w:rPr>
        <w:t>）</w:t>
      </w:r>
      <w:r>
        <w:rPr>
          <w:rFonts w:ascii="楷体_GB2312" w:eastAsia="楷体_GB2312" w:hint="eastAsia"/>
          <w:spacing w:val="-8"/>
          <w:w w:val="100"/>
        </w:rPr>
        <w:t>、欧盟药品管理局</w:t>
      </w:r>
      <w:r>
        <w:rPr>
          <w:rFonts w:ascii="楷体_GB2312" w:eastAsia="楷体_GB2312" w:hint="eastAsia"/>
          <w:spacing w:val="-6"/>
          <w:w w:val="100"/>
        </w:rPr>
        <w:t>（</w:t>
      </w:r>
      <w:r>
        <w:rPr>
          <w:rFonts w:ascii="楷体_GB2312" w:eastAsia="楷体_GB2312" w:hint="eastAsia"/>
          <w:spacing w:val="2"/>
          <w:w w:val="100"/>
        </w:rPr>
        <w:t>E</w:t>
      </w:r>
      <w:r>
        <w:rPr>
          <w:rFonts w:ascii="楷体_GB2312" w:eastAsia="楷体_GB2312" w:hint="eastAsia"/>
          <w:spacing w:val="-3"/>
          <w:w w:val="100"/>
        </w:rPr>
        <w:t>ME</w:t>
      </w:r>
      <w:r>
        <w:rPr>
          <w:rFonts w:ascii="楷体_GB2312" w:eastAsia="楷体_GB2312" w:hint="eastAsia"/>
          <w:spacing w:val="2"/>
          <w:w w:val="100"/>
        </w:rPr>
        <w:t>A</w:t>
      </w:r>
      <w:r>
        <w:rPr>
          <w:rFonts w:ascii="楷体_GB2312" w:eastAsia="楷体_GB2312" w:hint="eastAsia"/>
          <w:spacing w:val="-20"/>
          <w:w w:val="100"/>
        </w:rPr>
        <w:t>）</w:t>
      </w:r>
      <w:r>
        <w:rPr>
          <w:rFonts w:ascii="楷体_GB2312" w:eastAsia="楷体_GB2312" w:hint="eastAsia"/>
          <w:spacing w:val="-3"/>
          <w:w w:val="100"/>
        </w:rPr>
        <w:t>或欧盟质量</w:t>
      </w:r>
      <w:r>
        <w:rPr>
          <w:rFonts w:ascii="楷体_GB2312" w:eastAsia="楷体_GB2312" w:hint="eastAsia"/>
          <w:spacing w:val="-7"/>
          <w:w w:val="100"/>
        </w:rPr>
        <w:t>指导委员会</w:t>
      </w:r>
      <w:r>
        <w:rPr>
          <w:rFonts w:ascii="楷体_GB2312" w:eastAsia="楷体_GB2312" w:hint="eastAsia"/>
          <w:spacing w:val="-6"/>
          <w:w w:val="100"/>
        </w:rPr>
        <w:t>（</w:t>
      </w:r>
      <w:r>
        <w:rPr>
          <w:rFonts w:ascii="楷体_GB2312" w:eastAsia="楷体_GB2312" w:hint="eastAsia"/>
          <w:spacing w:val="2"/>
          <w:w w:val="100"/>
        </w:rPr>
        <w:t>E</w:t>
      </w:r>
      <w:r>
        <w:rPr>
          <w:rFonts w:ascii="楷体_GB2312" w:eastAsia="楷体_GB2312" w:hint="eastAsia"/>
          <w:spacing w:val="-3"/>
          <w:w w:val="100"/>
        </w:rPr>
        <w:t>DQ</w:t>
      </w:r>
      <w:r>
        <w:rPr>
          <w:rFonts w:ascii="楷体_GB2312" w:eastAsia="楷体_GB2312" w:hint="eastAsia"/>
          <w:spacing w:val="2"/>
          <w:w w:val="100"/>
        </w:rPr>
        <w:t>M</w:t>
      </w:r>
      <w:r>
        <w:rPr>
          <w:rFonts w:ascii="楷体_GB2312" w:eastAsia="楷体_GB2312" w:hint="eastAsia"/>
          <w:spacing w:val="-164"/>
          <w:w w:val="100"/>
        </w:rPr>
        <w:t>）</w:t>
      </w:r>
      <w:r>
        <w:rPr>
          <w:rFonts w:ascii="楷体_GB2312" w:eastAsia="楷体_GB2312" w:hint="eastAsia"/>
          <w:spacing w:val="-8"/>
          <w:w w:val="100"/>
        </w:rPr>
        <w:t>、日本药品与医疗器械管理局</w:t>
      </w:r>
      <w:r>
        <w:rPr>
          <w:rFonts w:ascii="楷体_GB2312" w:eastAsia="楷体_GB2312" w:hint="eastAsia"/>
          <w:spacing w:val="-1"/>
          <w:w w:val="100"/>
        </w:rPr>
        <w:t>（</w:t>
      </w:r>
      <w:r>
        <w:rPr>
          <w:rFonts w:ascii="楷体_GB2312" w:eastAsia="楷体_GB2312" w:hint="eastAsia"/>
          <w:spacing w:val="2"/>
          <w:w w:val="100"/>
        </w:rPr>
        <w:t>P</w:t>
      </w:r>
      <w:r>
        <w:rPr>
          <w:rFonts w:ascii="楷体_GB2312" w:eastAsia="楷体_GB2312" w:hint="eastAsia"/>
          <w:spacing w:val="-3"/>
          <w:w w:val="100"/>
        </w:rPr>
        <w:t>MDA</w:t>
      </w:r>
      <w:r>
        <w:rPr>
          <w:rFonts w:ascii="楷体_GB2312" w:eastAsia="楷体_GB2312" w:hint="eastAsia"/>
          <w:spacing w:val="-159"/>
          <w:w w:val="100"/>
        </w:rPr>
        <w:t>）</w:t>
      </w:r>
      <w:r>
        <w:rPr>
          <w:rFonts w:ascii="楷体_GB2312" w:eastAsia="楷体_GB2312" w:hint="eastAsia"/>
          <w:spacing w:val="-8"/>
          <w:w w:val="100"/>
        </w:rPr>
        <w:t>、国际</w:t>
      </w:r>
      <w:r>
        <w:rPr>
          <w:rFonts w:ascii="楷体_GB2312" w:eastAsia="楷体_GB2312" w:hint="eastAsia"/>
        </w:rPr>
        <w:t>药品认证合作组织（PIC/S）直接注册、认证的药品类、医疗器</w:t>
      </w:r>
      <w:r>
        <w:rPr>
          <w:rFonts w:ascii="楷体_GB2312" w:eastAsia="楷体_GB2312" w:hint="eastAsia"/>
          <w:spacing w:val="-13"/>
        </w:rPr>
        <w:t>械类</w:t>
      </w:r>
      <w:r>
        <w:rPr>
          <w:rFonts w:ascii="楷体_GB2312" w:eastAsia="楷体_GB2312" w:hint="eastAsia"/>
          <w:spacing w:val="-6"/>
        </w:rPr>
        <w:t>（</w:t>
      </w:r>
      <w:r>
        <w:rPr>
          <w:rFonts w:ascii="楷体_GB2312" w:eastAsia="楷体_GB2312" w:hint="eastAsia"/>
          <w:spacing w:val="-3"/>
        </w:rPr>
        <w:t>仅限医疗器械三类</w:t>
      </w:r>
      <w:r>
        <w:rPr>
          <w:rFonts w:ascii="楷体_GB2312" w:eastAsia="楷体_GB2312" w:hint="eastAsia"/>
          <w:spacing w:val="-20"/>
        </w:rPr>
        <w:t>）</w:t>
      </w:r>
      <w:r>
        <w:rPr>
          <w:rFonts w:ascii="楷体_GB2312" w:eastAsia="楷体_GB2312" w:hint="eastAsia"/>
          <w:spacing w:val="-6"/>
        </w:rPr>
        <w:t>高精尖企业，按照不超过实际支出费用的</w:t>
      </w:r>
      <w:r>
        <w:rPr>
          <w:rFonts w:ascii="楷体_GB2312" w:eastAsia="楷体_GB2312" w:hint="eastAsia"/>
          <w:spacing w:val="-78"/>
        </w:rPr>
        <w:t> </w:t>
      </w:r>
      <w:r>
        <w:rPr>
          <w:rFonts w:ascii="楷体_GB2312" w:eastAsia="楷体_GB2312" w:hint="eastAsia"/>
          <w:spacing w:val="4"/>
        </w:rPr>
        <w:t>30</w:t>
      </w:r>
      <w:r>
        <w:rPr>
          <w:rFonts w:ascii="楷体_GB2312" w:eastAsia="楷体_GB2312" w:hint="eastAsia"/>
          <w:spacing w:val="12"/>
          <w:w w:val="100"/>
        </w:rPr>
        <w:drawing>
          <wp:inline distT="0" distB="0" distL="0" distR="0">
            <wp:extent cx="85724" cy="155574"/>
            <wp:effectExtent l="0" t="0" r="0" b="0"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_GB2312" w:eastAsia="楷体_GB2312" w:hint="eastAsia"/>
          <w:spacing w:val="12"/>
          <w:w w:val="100"/>
        </w:rPr>
      </w:r>
      <w:r>
        <w:rPr>
          <w:rFonts w:ascii="楷体_GB2312" w:eastAsia="楷体_GB2312" w:hint="eastAsia"/>
          <w:spacing w:val="-140"/>
        </w:rPr>
        <w:t>，</w:t>
      </w:r>
      <w:r>
        <w:rPr>
          <w:rFonts w:ascii="楷体_GB2312" w:eastAsia="楷体_GB2312" w:hint="eastAsia"/>
        </w:rPr>
        <w:t>药</w:t>
      </w:r>
      <w:r>
        <w:rPr>
          <w:rFonts w:ascii="楷体_GB2312" w:eastAsia="楷体_GB2312" w:hint="eastAsia"/>
          <w:spacing w:val="-6"/>
        </w:rPr>
        <w:t>品</w:t>
      </w:r>
      <w:r>
        <w:rPr>
          <w:rFonts w:ascii="楷体_GB2312" w:eastAsia="楷体_GB2312" w:hint="eastAsia"/>
        </w:rPr>
        <w:t>类企</w:t>
      </w:r>
      <w:r>
        <w:rPr>
          <w:rFonts w:ascii="楷体_GB2312" w:eastAsia="楷体_GB2312" w:hint="eastAsia"/>
          <w:spacing w:val="-6"/>
        </w:rPr>
        <w:t>业</w:t>
      </w:r>
      <w:r>
        <w:rPr>
          <w:rFonts w:ascii="楷体_GB2312" w:eastAsia="楷体_GB2312" w:hint="eastAsia"/>
        </w:rPr>
        <w:t>给予</w:t>
      </w:r>
      <w:r>
        <w:rPr>
          <w:rFonts w:ascii="楷体_GB2312" w:eastAsia="楷体_GB2312" w:hint="eastAsia"/>
          <w:spacing w:val="-6"/>
        </w:rPr>
        <w:t>最</w:t>
      </w:r>
      <w:r>
        <w:rPr>
          <w:rFonts w:ascii="楷体_GB2312" w:eastAsia="楷体_GB2312" w:hint="eastAsia"/>
        </w:rPr>
        <w:t>高不</w:t>
      </w:r>
      <w:r>
        <w:rPr>
          <w:rFonts w:ascii="楷体_GB2312" w:eastAsia="楷体_GB2312" w:hint="eastAsia"/>
          <w:spacing w:val="-6"/>
        </w:rPr>
        <w:t>超</w:t>
      </w:r>
      <w:r>
        <w:rPr>
          <w:rFonts w:ascii="楷体_GB2312" w:eastAsia="楷体_GB2312" w:hint="eastAsia"/>
        </w:rPr>
        <w:t>过</w:t>
      </w:r>
      <w:r>
        <w:rPr>
          <w:rFonts w:ascii="楷体_GB2312" w:eastAsia="楷体_GB2312" w:hint="eastAsia"/>
          <w:spacing w:val="-71"/>
        </w:rPr>
        <w:t> </w:t>
      </w:r>
      <w:r>
        <w:rPr>
          <w:rFonts w:ascii="楷体_GB2312" w:eastAsia="楷体_GB2312" w:hint="eastAsia"/>
        </w:rPr>
        <w:t>500</w:t>
      </w:r>
      <w:r>
        <w:rPr>
          <w:rFonts w:ascii="楷体_GB2312" w:eastAsia="楷体_GB2312" w:hint="eastAsia"/>
          <w:spacing w:val="-66"/>
        </w:rPr>
        <w:t> </w:t>
      </w:r>
      <w:r>
        <w:rPr>
          <w:rFonts w:ascii="楷体_GB2312" w:eastAsia="楷体_GB2312" w:hint="eastAsia"/>
        </w:rPr>
        <w:t>万</w:t>
      </w:r>
      <w:r>
        <w:rPr>
          <w:rFonts w:ascii="楷体_GB2312" w:eastAsia="楷体_GB2312" w:hint="eastAsia"/>
          <w:spacing w:val="-6"/>
        </w:rPr>
        <w:t>元</w:t>
      </w:r>
      <w:r>
        <w:rPr>
          <w:rFonts w:ascii="楷体_GB2312" w:eastAsia="楷体_GB2312" w:hint="eastAsia"/>
        </w:rPr>
        <w:t>一次</w:t>
      </w:r>
      <w:r>
        <w:rPr>
          <w:rFonts w:ascii="楷体_GB2312" w:eastAsia="楷体_GB2312" w:hint="eastAsia"/>
          <w:spacing w:val="-6"/>
        </w:rPr>
        <w:t>性</w:t>
      </w:r>
      <w:r>
        <w:rPr>
          <w:rFonts w:ascii="楷体_GB2312" w:eastAsia="楷体_GB2312" w:hint="eastAsia"/>
        </w:rPr>
        <w:t>支持</w:t>
      </w:r>
      <w:r>
        <w:rPr>
          <w:rFonts w:ascii="楷体_GB2312" w:eastAsia="楷体_GB2312" w:hint="eastAsia"/>
          <w:spacing w:val="-6"/>
        </w:rPr>
        <w:t>资</w:t>
      </w:r>
      <w:r>
        <w:rPr>
          <w:rFonts w:ascii="楷体_GB2312" w:eastAsia="楷体_GB2312" w:hint="eastAsia"/>
        </w:rPr>
        <w:t>金， </w:t>
      </w:r>
      <w:r>
        <w:rPr>
          <w:rFonts w:ascii="楷体_GB2312" w:eastAsia="楷体_GB2312" w:hint="eastAsia"/>
          <w:spacing w:val="-10"/>
        </w:rPr>
        <w:t>医疗器械</w:t>
      </w:r>
      <w:r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  <w:spacing w:val="-4"/>
        </w:rPr>
        <w:t>仅限医疗器械三类</w:t>
      </w:r>
      <w:r>
        <w:rPr>
          <w:rFonts w:ascii="楷体_GB2312" w:eastAsia="楷体_GB2312" w:hint="eastAsia"/>
          <w:spacing w:val="-30"/>
        </w:rPr>
        <w:t>）</w:t>
      </w:r>
      <w:r>
        <w:rPr>
          <w:rFonts w:ascii="楷体_GB2312" w:eastAsia="楷体_GB2312" w:hint="eastAsia"/>
          <w:spacing w:val="-11"/>
        </w:rPr>
        <w:t>类企业给予最高不超过 </w:t>
      </w:r>
      <w:r>
        <w:rPr>
          <w:rFonts w:ascii="楷体_GB2312" w:eastAsia="楷体_GB2312" w:hint="eastAsia"/>
        </w:rPr>
        <w:t>200</w:t>
      </w:r>
      <w:r>
        <w:rPr>
          <w:rFonts w:ascii="楷体_GB2312" w:eastAsia="楷体_GB2312" w:hint="eastAsia"/>
          <w:spacing w:val="-24"/>
        </w:rPr>
        <w:t> 万元</w:t>
      </w:r>
      <w:r>
        <w:rPr>
          <w:rFonts w:ascii="楷体_GB2312" w:eastAsia="楷体_GB2312" w:hint="eastAsia"/>
          <w:spacing w:val="-6"/>
        </w:rPr>
        <w:t>一次性支持资金。</w:t>
      </w:r>
    </w:p>
    <w:p>
      <w:pPr>
        <w:spacing w:after="0" w:line="326" w:lineRule="auto"/>
        <w:rPr>
          <w:rFonts w:ascii="楷体_GB2312" w:eastAsia="楷体_GB2312" w:hint="eastAsia"/>
        </w:rPr>
        <w:sectPr>
          <w:footerReference w:type="even" r:id="rId8"/>
          <w:footerReference w:type="default" r:id="rId9"/>
          <w:pgSz w:w="11910" w:h="16840"/>
          <w:pgMar w:footer="954" w:header="0" w:top="1580" w:bottom="1140" w:left="1360" w:right="0"/>
          <w:pgNumType w:start="10"/>
        </w:sectPr>
      </w:pPr>
    </w:p>
    <w:p>
      <w:pPr>
        <w:pStyle w:val="BodyText"/>
        <w:ind w:left="0"/>
        <w:rPr>
          <w:rFonts w:ascii="楷体_GB2312"/>
          <w:sz w:val="20"/>
        </w:rPr>
      </w:pPr>
      <w:r>
        <w:rPr/>
        <w:pict>
          <v:shape style="position:absolute;margin-left:14.101753pt;margin-top:401.402161pt;width:576pt;height:48pt;mso-position-horizontal-relative:page;mso-position-vertical-relative:page;z-index:-252084224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1"/>
        <w:ind w:left="0"/>
        <w:rPr>
          <w:rFonts w:ascii="楷体_GB2312"/>
          <w:sz w:val="15"/>
        </w:rPr>
      </w:pPr>
    </w:p>
    <w:p>
      <w:pPr>
        <w:pStyle w:val="ListParagraph"/>
        <w:numPr>
          <w:ilvl w:val="0"/>
          <w:numId w:val="20"/>
        </w:numPr>
        <w:tabs>
          <w:tab w:pos="1266" w:val="left" w:leader="none"/>
        </w:tabs>
        <w:spacing w:line="240" w:lineRule="auto" w:before="67" w:after="0"/>
        <w:ind w:left="1265" w:right="0" w:hanging="399"/>
        <w:jc w:val="both"/>
        <w:rPr>
          <w:sz w:val="32"/>
        </w:rPr>
      </w:pPr>
      <w:r>
        <w:rPr>
          <w:spacing w:val="-3"/>
          <w:sz w:val="32"/>
        </w:rPr>
        <w:t>须满足的条件</w:t>
      </w:r>
    </w:p>
    <w:p>
      <w:pPr>
        <w:pStyle w:val="BodyText"/>
        <w:spacing w:line="328" w:lineRule="auto" w:before="147"/>
        <w:ind w:right="1353" w:firstLine="638"/>
        <w:jc w:val="both"/>
      </w:pPr>
      <w:r>
        <w:rPr>
          <w:spacing w:val="-8"/>
          <w:w w:val="100"/>
        </w:rPr>
        <w:t>上年度获得美国食品药品监督管理局</w:t>
      </w:r>
      <w:r>
        <w:rPr>
          <w:spacing w:val="-6"/>
          <w:w w:val="100"/>
        </w:rPr>
        <w:t>（</w:t>
      </w:r>
      <w:r>
        <w:rPr>
          <w:spacing w:val="2"/>
          <w:w w:val="100"/>
        </w:rPr>
        <w:t>F</w:t>
      </w:r>
      <w:r>
        <w:rPr>
          <w:spacing w:val="-3"/>
          <w:w w:val="100"/>
        </w:rPr>
        <w:t>DA</w:t>
      </w:r>
      <w:r>
        <w:rPr>
          <w:spacing w:val="-159"/>
          <w:w w:val="100"/>
        </w:rPr>
        <w:t>）</w:t>
      </w:r>
      <w:r>
        <w:rPr>
          <w:spacing w:val="-8"/>
          <w:w w:val="100"/>
        </w:rPr>
        <w:t>、欧盟药品管理</w:t>
      </w:r>
      <w:r>
        <w:rPr>
          <w:spacing w:val="4"/>
          <w:w w:val="100"/>
        </w:rPr>
        <w:t>局</w:t>
      </w:r>
      <w:r>
        <w:rPr>
          <w:spacing w:val="-1"/>
          <w:w w:val="100"/>
        </w:rPr>
        <w:t>（</w:t>
      </w:r>
      <w:r>
        <w:rPr>
          <w:spacing w:val="-3"/>
          <w:w w:val="100"/>
        </w:rPr>
        <w:t>E</w:t>
      </w:r>
      <w:r>
        <w:rPr>
          <w:spacing w:val="2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2"/>
          <w:w w:val="100"/>
        </w:rPr>
        <w:t>A</w:t>
      </w:r>
      <w:r>
        <w:rPr>
          <w:spacing w:val="4"/>
          <w:w w:val="100"/>
        </w:rPr>
        <w:t>）</w:t>
      </w:r>
      <w:r>
        <w:rPr>
          <w:spacing w:val="-1"/>
          <w:w w:val="100"/>
        </w:rPr>
        <w:t>或欧盟质量指导委员会（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DQ</w:t>
      </w:r>
      <w:r>
        <w:rPr>
          <w:spacing w:val="2"/>
          <w:w w:val="100"/>
        </w:rPr>
        <w:t>M</w:t>
      </w:r>
      <w:r>
        <w:rPr>
          <w:spacing w:val="-159"/>
          <w:w w:val="100"/>
        </w:rPr>
        <w:t>）</w:t>
      </w:r>
      <w:r>
        <w:rPr>
          <w:spacing w:val="-1"/>
          <w:w w:val="100"/>
        </w:rPr>
        <w:t>、日本药品与医疗器</w:t>
      </w:r>
      <w:r>
        <w:rPr>
          <w:spacing w:val="-3"/>
          <w:w w:val="100"/>
        </w:rPr>
        <w:t>械管理局</w:t>
      </w:r>
      <w:r>
        <w:rPr>
          <w:spacing w:val="-6"/>
          <w:w w:val="100"/>
        </w:rPr>
        <w:t>（</w:t>
      </w:r>
      <w:r>
        <w:rPr>
          <w:spacing w:val="2"/>
          <w:w w:val="100"/>
        </w:rPr>
        <w:t>P</w:t>
      </w:r>
      <w:r>
        <w:rPr>
          <w:spacing w:val="-3"/>
          <w:w w:val="100"/>
        </w:rPr>
        <w:t>MDA</w:t>
      </w:r>
      <w:r>
        <w:rPr>
          <w:spacing w:val="-159"/>
          <w:w w:val="100"/>
        </w:rPr>
        <w:t>）</w:t>
      </w:r>
      <w:r>
        <w:rPr>
          <w:spacing w:val="-6"/>
          <w:w w:val="100"/>
        </w:rPr>
        <w:t>、国际药品认证合作组织</w:t>
      </w:r>
      <w:r>
        <w:rPr>
          <w:spacing w:val="-1"/>
          <w:w w:val="100"/>
        </w:rPr>
        <w:t>（</w:t>
      </w:r>
      <w:r>
        <w:rPr>
          <w:spacing w:val="-3"/>
          <w:w w:val="100"/>
        </w:rPr>
        <w:t>P</w:t>
      </w:r>
      <w:r>
        <w:rPr>
          <w:spacing w:val="2"/>
          <w:w w:val="100"/>
        </w:rPr>
        <w:t>I</w:t>
      </w:r>
      <w:r>
        <w:rPr>
          <w:spacing w:val="-3"/>
          <w:w w:val="100"/>
        </w:rPr>
        <w:t>C/S</w:t>
      </w:r>
      <w:r>
        <w:rPr>
          <w:spacing w:val="-1"/>
          <w:w w:val="100"/>
        </w:rPr>
        <w:t>）</w:t>
      </w:r>
      <w:r>
        <w:rPr>
          <w:spacing w:val="-3"/>
          <w:w w:val="100"/>
        </w:rPr>
        <w:t>直接注册、</w:t>
      </w:r>
      <w:r>
        <w:rPr>
          <w:spacing w:val="-9"/>
        </w:rPr>
        <w:t>认证的药品类、医疗器械类</w:t>
      </w:r>
      <w:r>
        <w:rPr>
          <w:spacing w:val="-6"/>
        </w:rPr>
        <w:t>（</w:t>
      </w:r>
      <w:r>
        <w:rPr>
          <w:spacing w:val="-4"/>
        </w:rPr>
        <w:t>仅限第三类医疗器械</w:t>
      </w:r>
      <w:r>
        <w:rPr>
          <w:spacing w:val="-20"/>
        </w:rPr>
        <w:t>）</w:t>
      </w:r>
      <w:r>
        <w:rPr>
          <w:spacing w:val="-2"/>
        </w:rPr>
        <w:t>的高精尖企</w:t>
      </w:r>
      <w:r>
        <w:rPr>
          <w:spacing w:val="-81"/>
        </w:rPr>
        <w:t>业。</w:t>
      </w:r>
      <w:r>
        <w:rPr/>
        <w:t>（以上机构成员国相关部门给予的注册、认定不在支持范围内）</w:t>
      </w:r>
    </w:p>
    <w:p>
      <w:pPr>
        <w:pStyle w:val="ListParagraph"/>
        <w:numPr>
          <w:ilvl w:val="0"/>
          <w:numId w:val="20"/>
        </w:numPr>
        <w:tabs>
          <w:tab w:pos="1266" w:val="left" w:leader="none"/>
        </w:tabs>
        <w:spacing w:line="328" w:lineRule="auto" w:before="0" w:after="0"/>
        <w:ind w:left="867" w:right="7353" w:firstLine="0"/>
        <w:jc w:val="left"/>
        <w:rPr>
          <w:sz w:val="32"/>
        </w:rPr>
      </w:pPr>
      <w:r>
        <w:rPr>
          <w:spacing w:val="-4"/>
          <w:sz w:val="32"/>
        </w:rPr>
        <w:t>须提供的材料</w:t>
      </w:r>
      <w:r>
        <w:rPr>
          <w:sz w:val="32"/>
        </w:rPr>
        <w:t>(1</w:t>
      </w:r>
      <w:r>
        <w:rPr>
          <w:spacing w:val="-2"/>
          <w:sz w:val="32"/>
        </w:rPr>
        <w:t>)申报表；</w:t>
      </w:r>
    </w:p>
    <w:p>
      <w:pPr>
        <w:pStyle w:val="ListParagraph"/>
        <w:numPr>
          <w:ilvl w:val="0"/>
          <w:numId w:val="21"/>
        </w:numPr>
        <w:tabs>
          <w:tab w:pos="1351" w:val="left" w:leader="none"/>
        </w:tabs>
        <w:spacing w:line="240" w:lineRule="auto" w:before="0" w:after="0"/>
        <w:ind w:left="1350" w:right="0" w:hanging="484"/>
        <w:jc w:val="left"/>
        <w:rPr>
          <w:sz w:val="32"/>
        </w:rPr>
      </w:pPr>
      <w:r>
        <w:rPr>
          <w:spacing w:val="-4"/>
          <w:sz w:val="32"/>
        </w:rPr>
        <w:t>企业营业执照复印件；</w:t>
      </w:r>
    </w:p>
    <w:p>
      <w:pPr>
        <w:pStyle w:val="ListParagraph"/>
        <w:numPr>
          <w:ilvl w:val="0"/>
          <w:numId w:val="21"/>
        </w:numPr>
        <w:tabs>
          <w:tab w:pos="1352" w:val="left" w:leader="none"/>
        </w:tabs>
        <w:spacing w:line="328" w:lineRule="auto" w:before="136" w:after="0"/>
        <w:ind w:left="228" w:right="1410" w:firstLine="638"/>
        <w:jc w:val="both"/>
        <w:rPr>
          <w:sz w:val="32"/>
        </w:rPr>
      </w:pPr>
      <w:r>
        <w:rPr>
          <w:spacing w:val="-1"/>
          <w:w w:val="100"/>
          <w:sz w:val="32"/>
        </w:rPr>
        <w:t>企业获得美国食品药品监督管理局</w:t>
      </w:r>
      <w:r>
        <w:rPr>
          <w:spacing w:val="4"/>
          <w:w w:val="100"/>
          <w:sz w:val="32"/>
        </w:rPr>
        <w:t>（</w:t>
      </w:r>
      <w:r>
        <w:rPr>
          <w:spacing w:val="-3"/>
          <w:w w:val="100"/>
          <w:sz w:val="32"/>
        </w:rPr>
        <w:t>F</w:t>
      </w:r>
      <w:r>
        <w:rPr>
          <w:spacing w:val="2"/>
          <w:w w:val="100"/>
          <w:sz w:val="32"/>
        </w:rPr>
        <w:t>D</w:t>
      </w:r>
      <w:r>
        <w:rPr>
          <w:spacing w:val="-3"/>
          <w:w w:val="100"/>
          <w:sz w:val="32"/>
        </w:rPr>
        <w:t>A</w:t>
      </w:r>
      <w:r>
        <w:rPr>
          <w:spacing w:val="-154"/>
          <w:w w:val="100"/>
          <w:sz w:val="32"/>
        </w:rPr>
        <w:t>）</w:t>
      </w:r>
      <w:r>
        <w:rPr>
          <w:w w:val="100"/>
          <w:sz w:val="32"/>
        </w:rPr>
        <w:t>、欧盟药品管</w:t>
      </w:r>
      <w:r>
        <w:rPr>
          <w:spacing w:val="1"/>
          <w:w w:val="100"/>
          <w:sz w:val="32"/>
        </w:rPr>
        <w:t>理局</w:t>
      </w:r>
      <w:r>
        <w:rPr>
          <w:spacing w:val="-1"/>
          <w:w w:val="100"/>
          <w:sz w:val="32"/>
        </w:rPr>
        <w:t>（</w:t>
      </w:r>
      <w:r>
        <w:rPr>
          <w:spacing w:val="2"/>
          <w:w w:val="100"/>
          <w:sz w:val="32"/>
        </w:rPr>
        <w:t>E</w:t>
      </w:r>
      <w:r>
        <w:rPr>
          <w:spacing w:val="-3"/>
          <w:w w:val="100"/>
          <w:sz w:val="32"/>
        </w:rPr>
        <w:t>ME</w:t>
      </w:r>
      <w:r>
        <w:rPr>
          <w:spacing w:val="2"/>
          <w:w w:val="100"/>
          <w:sz w:val="32"/>
        </w:rPr>
        <w:t>A</w:t>
      </w:r>
      <w:r>
        <w:rPr>
          <w:spacing w:val="4"/>
          <w:w w:val="100"/>
          <w:sz w:val="32"/>
        </w:rPr>
        <w:t>）</w:t>
      </w:r>
      <w:r>
        <w:rPr>
          <w:spacing w:val="-1"/>
          <w:w w:val="100"/>
          <w:sz w:val="32"/>
        </w:rPr>
        <w:t>或欧盟质量指导委员会（</w:t>
      </w:r>
      <w:r>
        <w:rPr>
          <w:spacing w:val="2"/>
          <w:w w:val="100"/>
          <w:sz w:val="32"/>
        </w:rPr>
        <w:t>E</w:t>
      </w:r>
      <w:r>
        <w:rPr>
          <w:spacing w:val="-3"/>
          <w:w w:val="100"/>
          <w:sz w:val="32"/>
        </w:rPr>
        <w:t>DQ</w:t>
      </w:r>
      <w:r>
        <w:rPr>
          <w:spacing w:val="7"/>
          <w:w w:val="100"/>
          <w:sz w:val="32"/>
        </w:rPr>
        <w:t>M</w:t>
      </w:r>
      <w:r>
        <w:rPr>
          <w:spacing w:val="-159"/>
          <w:w w:val="100"/>
          <w:sz w:val="32"/>
        </w:rPr>
        <w:t>）</w:t>
      </w:r>
      <w:r>
        <w:rPr>
          <w:spacing w:val="-1"/>
          <w:w w:val="100"/>
          <w:sz w:val="32"/>
        </w:rPr>
        <w:t>、日本药品与医疗</w:t>
      </w:r>
      <w:r>
        <w:rPr>
          <w:spacing w:val="-6"/>
          <w:w w:val="100"/>
          <w:sz w:val="32"/>
        </w:rPr>
        <w:t>器械管理局（</w:t>
      </w:r>
      <w:r>
        <w:rPr>
          <w:spacing w:val="2"/>
          <w:w w:val="100"/>
          <w:sz w:val="32"/>
        </w:rPr>
        <w:t>P</w:t>
      </w:r>
      <w:r>
        <w:rPr>
          <w:spacing w:val="-3"/>
          <w:w w:val="100"/>
          <w:sz w:val="32"/>
        </w:rPr>
        <w:t>MDA</w:t>
      </w:r>
      <w:r>
        <w:rPr>
          <w:spacing w:val="-159"/>
          <w:w w:val="100"/>
          <w:sz w:val="32"/>
        </w:rPr>
        <w:t>）</w:t>
      </w:r>
      <w:r>
        <w:rPr>
          <w:spacing w:val="-7"/>
          <w:w w:val="100"/>
          <w:sz w:val="32"/>
        </w:rPr>
        <w:t>、国际药品认证合作组织</w:t>
      </w:r>
      <w:r>
        <w:rPr>
          <w:spacing w:val="-6"/>
          <w:w w:val="100"/>
          <w:sz w:val="32"/>
        </w:rPr>
        <w:t>（</w:t>
      </w:r>
      <w:r>
        <w:rPr>
          <w:spacing w:val="2"/>
          <w:w w:val="100"/>
          <w:sz w:val="32"/>
        </w:rPr>
        <w:t>P</w:t>
      </w:r>
      <w:r>
        <w:rPr>
          <w:spacing w:val="-3"/>
          <w:w w:val="100"/>
          <w:sz w:val="32"/>
        </w:rPr>
        <w:t>IC</w:t>
      </w:r>
      <w:r>
        <w:rPr>
          <w:spacing w:val="2"/>
          <w:w w:val="100"/>
          <w:sz w:val="32"/>
        </w:rPr>
        <w:t>/</w:t>
      </w:r>
      <w:r>
        <w:rPr>
          <w:spacing w:val="-3"/>
          <w:w w:val="100"/>
          <w:sz w:val="32"/>
        </w:rPr>
        <w:t>S</w:t>
      </w:r>
      <w:r>
        <w:rPr>
          <w:spacing w:val="-15"/>
          <w:w w:val="100"/>
          <w:sz w:val="32"/>
        </w:rPr>
        <w:t>）</w:t>
      </w:r>
      <w:r>
        <w:rPr>
          <w:spacing w:val="-5"/>
          <w:w w:val="100"/>
          <w:sz w:val="32"/>
        </w:rPr>
        <w:t>注册、认</w:t>
      </w:r>
      <w:r>
        <w:rPr>
          <w:spacing w:val="-5"/>
          <w:sz w:val="32"/>
        </w:rPr>
        <w:t>证的相关证明材料复印件；</w:t>
      </w:r>
    </w:p>
    <w:p>
      <w:pPr>
        <w:pStyle w:val="ListParagraph"/>
        <w:numPr>
          <w:ilvl w:val="0"/>
          <w:numId w:val="21"/>
        </w:numPr>
        <w:tabs>
          <w:tab w:pos="1352" w:val="left" w:leader="none"/>
        </w:tabs>
        <w:spacing w:line="328" w:lineRule="auto" w:before="0" w:after="0"/>
        <w:ind w:left="228" w:right="1410" w:firstLine="638"/>
        <w:jc w:val="left"/>
        <w:rPr>
          <w:sz w:val="32"/>
        </w:rPr>
      </w:pPr>
      <w:r>
        <w:rPr>
          <w:sz w:val="32"/>
        </w:rPr>
        <w:t>具有相关资质的专业审计机构出具的，能够证明企业实</w:t>
      </w:r>
      <w:r>
        <w:rPr>
          <w:spacing w:val="-5"/>
          <w:sz w:val="32"/>
        </w:rPr>
        <w:t>际支出费用的财务审计报告；</w:t>
      </w:r>
    </w:p>
    <w:p>
      <w:pPr>
        <w:pStyle w:val="ListParagraph"/>
        <w:numPr>
          <w:ilvl w:val="0"/>
          <w:numId w:val="21"/>
        </w:numPr>
        <w:tabs>
          <w:tab w:pos="1351" w:val="left" w:leader="none"/>
        </w:tabs>
        <w:spacing w:line="405" w:lineRule="exact" w:before="0" w:after="0"/>
        <w:ind w:left="1350" w:right="0" w:hanging="484"/>
        <w:jc w:val="left"/>
        <w:rPr>
          <w:sz w:val="32"/>
        </w:rPr>
      </w:pPr>
      <w:r>
        <w:rPr>
          <w:spacing w:val="-3"/>
          <w:sz w:val="32"/>
        </w:rPr>
        <w:t>其他有关材料。</w:t>
      </w:r>
    </w:p>
    <w:p>
      <w:pPr>
        <w:pStyle w:val="BodyText"/>
        <w:spacing w:line="328" w:lineRule="auto" w:before="146"/>
        <w:ind w:right="1413" w:firstLine="638"/>
        <w:jc w:val="both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  <w:spacing w:val="-3"/>
        </w:rPr>
        <w:t>十一</w:t>
      </w:r>
      <w:r>
        <w:rPr>
          <w:rFonts w:ascii="楷体_GB2312" w:eastAsia="楷体_GB2312" w:hint="eastAsia"/>
          <w:spacing w:val="-30"/>
        </w:rPr>
        <w:t>）</w:t>
      </w:r>
      <w:r>
        <w:rPr>
          <w:rFonts w:ascii="楷体_GB2312" w:eastAsia="楷体_GB2312" w:hint="eastAsia"/>
          <w:spacing w:val="-8"/>
        </w:rPr>
        <w:t>支持医药健康企业培育大品种产品</w:t>
      </w:r>
      <w:r>
        <w:rPr>
          <w:rFonts w:ascii="楷体_GB2312" w:eastAsia="楷体_GB2312" w:hint="eastAsia"/>
          <w:spacing w:val="-6"/>
        </w:rPr>
        <w:t>（</w:t>
      </w:r>
      <w:r>
        <w:rPr>
          <w:rFonts w:ascii="楷体_GB2312" w:eastAsia="楷体_GB2312" w:hint="eastAsia"/>
          <w:spacing w:val="-3"/>
        </w:rPr>
        <w:t>单品种产品年</w:t>
      </w:r>
      <w:r>
        <w:rPr>
          <w:rFonts w:ascii="楷体_GB2312" w:eastAsia="楷体_GB2312" w:hint="eastAsia"/>
          <w:spacing w:val="-1"/>
        </w:rPr>
        <w:t>产值达到一定规模的产品</w:t>
      </w:r>
      <w:r>
        <w:rPr>
          <w:rFonts w:ascii="楷体_GB2312" w:eastAsia="楷体_GB2312" w:hint="eastAsia"/>
          <w:spacing w:val="-154"/>
        </w:rPr>
        <w:t>）</w:t>
      </w:r>
      <w:r>
        <w:rPr>
          <w:rFonts w:ascii="楷体_GB2312" w:eastAsia="楷体_GB2312" w:hint="eastAsia"/>
          <w:spacing w:val="-4"/>
        </w:rPr>
        <w:t>。对单品种产品年产值首次突破 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 w:hint="eastAsia"/>
          <w:spacing w:val="-32"/>
        </w:rPr>
        <w:t> 亿</w:t>
      </w:r>
      <w:r>
        <w:rPr>
          <w:rFonts w:ascii="楷体_GB2312" w:eastAsia="楷体_GB2312" w:hint="eastAsia"/>
          <w:spacing w:val="6"/>
        </w:rPr>
        <w:t>元、</w:t>
      </w:r>
      <w:r>
        <w:rPr>
          <w:rFonts w:ascii="楷体_GB2312" w:eastAsia="楷体_GB2312" w:hint="eastAsia"/>
        </w:rPr>
        <w:t>10</w:t>
      </w:r>
      <w:r>
        <w:rPr>
          <w:rFonts w:ascii="楷体_GB2312" w:eastAsia="楷体_GB2312" w:hint="eastAsia"/>
          <w:spacing w:val="-9"/>
        </w:rPr>
        <w:t> 亿元、</w:t>
      </w:r>
      <w:r>
        <w:rPr>
          <w:rFonts w:ascii="楷体_GB2312" w:eastAsia="楷体_GB2312" w:hint="eastAsia"/>
        </w:rPr>
        <w:t>20</w:t>
      </w:r>
      <w:r>
        <w:rPr>
          <w:rFonts w:ascii="楷体_GB2312" w:eastAsia="楷体_GB2312" w:hint="eastAsia"/>
          <w:spacing w:val="-5"/>
        </w:rPr>
        <w:t> 亿元的高精尖企业，分别给予 </w:t>
      </w:r>
      <w:r>
        <w:rPr>
          <w:rFonts w:ascii="楷体_GB2312" w:eastAsia="楷体_GB2312" w:hint="eastAsia"/>
        </w:rPr>
        <w:t>200</w:t>
      </w:r>
      <w:r>
        <w:rPr>
          <w:rFonts w:ascii="楷体_GB2312" w:eastAsia="楷体_GB2312" w:hint="eastAsia"/>
          <w:spacing w:val="-9"/>
        </w:rPr>
        <w:t> 万元、</w:t>
      </w:r>
      <w:r>
        <w:rPr>
          <w:rFonts w:ascii="楷体_GB2312" w:eastAsia="楷体_GB2312" w:hint="eastAsia"/>
        </w:rPr>
        <w:t>500 </w:t>
      </w:r>
      <w:r>
        <w:rPr>
          <w:rFonts w:ascii="楷体_GB2312" w:eastAsia="楷体_GB2312" w:hint="eastAsia"/>
          <w:spacing w:val="-2"/>
        </w:rPr>
        <w:t>万元、</w:t>
      </w:r>
      <w:r>
        <w:rPr>
          <w:rFonts w:ascii="楷体_GB2312" w:eastAsia="楷体_GB2312" w:hint="eastAsia"/>
        </w:rPr>
        <w:t>1000</w:t>
      </w:r>
      <w:r>
        <w:rPr>
          <w:rFonts w:ascii="楷体_GB2312" w:eastAsia="楷体_GB2312" w:hint="eastAsia"/>
          <w:spacing w:val="-12"/>
        </w:rPr>
        <w:t> 万元一次性支持资金。</w:t>
      </w:r>
    </w:p>
    <w:p>
      <w:pPr>
        <w:pStyle w:val="ListParagraph"/>
        <w:numPr>
          <w:ilvl w:val="0"/>
          <w:numId w:val="22"/>
        </w:numPr>
        <w:tabs>
          <w:tab w:pos="1266" w:val="left" w:leader="none"/>
        </w:tabs>
        <w:spacing w:line="405" w:lineRule="exact" w:before="0" w:after="0"/>
        <w:ind w:left="1265" w:right="0" w:hanging="399"/>
        <w:jc w:val="left"/>
        <w:rPr>
          <w:sz w:val="32"/>
        </w:rPr>
      </w:pPr>
      <w:r>
        <w:rPr>
          <w:spacing w:val="-2"/>
          <w:sz w:val="32"/>
        </w:rPr>
        <w:t>须满足的条件</w:t>
      </w:r>
    </w:p>
    <w:p>
      <w:pPr>
        <w:pStyle w:val="BodyText"/>
        <w:spacing w:before="147"/>
        <w:ind w:left="867"/>
        <w:rPr>
          <w:rFonts w:ascii="Times New Roman" w:eastAsia="Times New Roman"/>
        </w:rPr>
      </w:pPr>
      <w:r>
        <w:rPr/>
        <w:t>上年度医药健康类单品种产品年产值首次突破 </w:t>
      </w:r>
      <w:r>
        <w:rPr>
          <w:rFonts w:ascii="Times New Roman" w:eastAsia="Times New Roman"/>
        </w:rPr>
        <w:t>5 </w:t>
      </w:r>
      <w:r>
        <w:rPr/>
        <w:t>亿元、</w:t>
      </w:r>
      <w:r>
        <w:rPr>
          <w:rFonts w:ascii="Times New Roman" w:eastAsia="Times New Roman"/>
        </w:rPr>
        <w:t>10</w:t>
      </w:r>
    </w:p>
    <w:p>
      <w:pPr>
        <w:spacing w:after="0"/>
        <w:rPr>
          <w:rFonts w:ascii="Times New Roman" w:eastAsia="Times New Roman"/>
        </w:rPr>
        <w:sectPr>
          <w:pgSz w:w="11910" w:h="16840"/>
          <w:pgMar w:header="0" w:footer="954" w:top="1580" w:bottom="1140" w:left="1360" w:right="0"/>
        </w:sectPr>
      </w:pPr>
    </w:p>
    <w:p>
      <w:pPr>
        <w:pStyle w:val="BodyText"/>
        <w:ind w:left="0"/>
        <w:rPr>
          <w:rFonts w:ascii="Times New Roman"/>
          <w:sz w:val="20"/>
        </w:rPr>
      </w:pPr>
      <w:r>
        <w:rPr/>
        <w:pict>
          <v:shape style="position:absolute;margin-left:14.101753pt;margin-top:401.402161pt;width:576pt;height:48pt;mso-position-horizontal-relative:page;mso-position-vertical-relative:page;z-index:-252083200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1"/>
        <w:ind w:left="0"/>
        <w:rPr>
          <w:rFonts w:ascii="Times New Roman"/>
          <w:sz w:val="19"/>
        </w:rPr>
      </w:pPr>
    </w:p>
    <w:p>
      <w:pPr>
        <w:pStyle w:val="BodyText"/>
        <w:spacing w:line="326" w:lineRule="auto" w:before="67"/>
        <w:ind w:right="1410"/>
      </w:pPr>
      <w:r>
        <w:rPr>
          <w:spacing w:val="-27"/>
        </w:rPr>
        <w:t>亿元、</w:t>
      </w:r>
      <w:r>
        <w:rPr>
          <w:rFonts w:ascii="Times New Roman" w:eastAsia="Times New Roman"/>
        </w:rPr>
        <w:t>20 </w:t>
      </w:r>
      <w:r>
        <w:rPr>
          <w:spacing w:val="-10"/>
        </w:rPr>
        <w:t>亿元的高精尖企业。涉及医疗器械类仅限第三类医疗器械。</w:t>
      </w:r>
    </w:p>
    <w:p>
      <w:pPr>
        <w:pStyle w:val="ListParagraph"/>
        <w:numPr>
          <w:ilvl w:val="0"/>
          <w:numId w:val="22"/>
        </w:numPr>
        <w:tabs>
          <w:tab w:pos="1266" w:val="left" w:leader="none"/>
        </w:tabs>
        <w:spacing w:line="328" w:lineRule="auto" w:before="3" w:after="0"/>
        <w:ind w:left="867" w:right="7358" w:firstLine="0"/>
        <w:jc w:val="left"/>
        <w:rPr>
          <w:sz w:val="32"/>
        </w:rPr>
      </w:pPr>
      <w:r>
        <w:rPr>
          <w:spacing w:val="-5"/>
          <w:sz w:val="32"/>
        </w:rPr>
        <w:t>须提供的材料</w:t>
      </w:r>
      <w:r>
        <w:rPr>
          <w:sz w:val="32"/>
        </w:rPr>
        <w:t>(1</w:t>
      </w:r>
      <w:r>
        <w:rPr>
          <w:spacing w:val="-2"/>
          <w:sz w:val="32"/>
        </w:rPr>
        <w:t>)申报表；</w:t>
      </w:r>
    </w:p>
    <w:p>
      <w:pPr>
        <w:pStyle w:val="ListParagraph"/>
        <w:numPr>
          <w:ilvl w:val="0"/>
          <w:numId w:val="23"/>
        </w:numPr>
        <w:tabs>
          <w:tab w:pos="1351" w:val="left" w:leader="none"/>
        </w:tabs>
        <w:spacing w:line="405" w:lineRule="exact" w:before="0" w:after="0"/>
        <w:ind w:left="1350" w:right="0" w:hanging="484"/>
        <w:jc w:val="left"/>
        <w:rPr>
          <w:sz w:val="32"/>
        </w:rPr>
      </w:pPr>
      <w:r>
        <w:rPr>
          <w:spacing w:val="-4"/>
          <w:sz w:val="32"/>
        </w:rPr>
        <w:t>企业营业执照复印件；</w:t>
      </w:r>
    </w:p>
    <w:p>
      <w:pPr>
        <w:pStyle w:val="ListParagraph"/>
        <w:numPr>
          <w:ilvl w:val="0"/>
          <w:numId w:val="23"/>
        </w:numPr>
        <w:tabs>
          <w:tab w:pos="1352" w:val="left" w:leader="none"/>
        </w:tabs>
        <w:spacing w:line="326" w:lineRule="auto" w:before="152" w:after="0"/>
        <w:ind w:left="228" w:right="1412" w:firstLine="638"/>
        <w:jc w:val="both"/>
        <w:rPr>
          <w:sz w:val="32"/>
        </w:rPr>
      </w:pPr>
      <w:r>
        <w:rPr>
          <w:sz w:val="32"/>
        </w:rPr>
        <w:t>具有相关资质的专业审计机构出具的，能够证明企业医</w:t>
      </w:r>
      <w:r>
        <w:rPr>
          <w:spacing w:val="-5"/>
          <w:sz w:val="32"/>
        </w:rPr>
        <w:t>药健康类单品种产品年产值首次突破 </w:t>
      </w:r>
      <w:r>
        <w:rPr>
          <w:rFonts w:ascii="Times New Roman" w:eastAsia="Times New Roman"/>
          <w:sz w:val="32"/>
        </w:rPr>
        <w:t>5</w:t>
      </w:r>
      <w:r>
        <w:rPr>
          <w:rFonts w:ascii="Times New Roman" w:eastAsia="Times New Roman"/>
          <w:spacing w:val="14"/>
          <w:sz w:val="32"/>
        </w:rPr>
        <w:t> </w:t>
      </w:r>
      <w:r>
        <w:rPr>
          <w:spacing w:val="1"/>
          <w:sz w:val="32"/>
        </w:rPr>
        <w:t>亿元、</w:t>
      </w:r>
      <w:r>
        <w:rPr>
          <w:rFonts w:ascii="Times New Roman" w:eastAsia="Times New Roman"/>
          <w:sz w:val="32"/>
        </w:rPr>
        <w:t>10</w:t>
      </w:r>
      <w:r>
        <w:rPr>
          <w:rFonts w:ascii="Times New Roman" w:eastAsia="Times New Roman"/>
          <w:spacing w:val="8"/>
          <w:sz w:val="32"/>
        </w:rPr>
        <w:t> </w:t>
      </w:r>
      <w:r>
        <w:rPr>
          <w:spacing w:val="2"/>
          <w:sz w:val="32"/>
        </w:rPr>
        <w:t>亿元、</w:t>
      </w:r>
      <w:r>
        <w:rPr>
          <w:rFonts w:ascii="Times New Roman" w:eastAsia="Times New Roman"/>
          <w:sz w:val="32"/>
        </w:rPr>
        <w:t>20</w:t>
      </w:r>
      <w:r>
        <w:rPr>
          <w:rFonts w:ascii="Times New Roman" w:eastAsia="Times New Roman"/>
          <w:spacing w:val="9"/>
          <w:sz w:val="32"/>
        </w:rPr>
        <w:t> </w:t>
      </w:r>
      <w:r>
        <w:rPr>
          <w:sz w:val="32"/>
        </w:rPr>
        <w:t>亿元</w:t>
      </w:r>
      <w:r>
        <w:rPr>
          <w:spacing w:val="-3"/>
          <w:sz w:val="32"/>
        </w:rPr>
        <w:t>的财务审计报告；</w:t>
      </w:r>
    </w:p>
    <w:p>
      <w:pPr>
        <w:pStyle w:val="ListParagraph"/>
        <w:numPr>
          <w:ilvl w:val="0"/>
          <w:numId w:val="23"/>
        </w:numPr>
        <w:tabs>
          <w:tab w:pos="1351" w:val="left" w:leader="none"/>
        </w:tabs>
        <w:spacing w:line="240" w:lineRule="auto" w:before="7" w:after="0"/>
        <w:ind w:left="1350" w:right="0" w:hanging="484"/>
        <w:jc w:val="left"/>
        <w:rPr>
          <w:sz w:val="32"/>
        </w:rPr>
      </w:pPr>
      <w:r>
        <w:rPr>
          <w:spacing w:val="-3"/>
          <w:sz w:val="32"/>
        </w:rPr>
        <w:t>其他有关材料。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  <w:ind w:left="935" w:right="2121"/>
        <w:jc w:val="center"/>
        <w:rPr>
          <w:rFonts w:ascii="黑体" w:eastAsia="黑体" w:hint="eastAsia"/>
        </w:rPr>
      </w:pPr>
      <w:r>
        <w:rPr>
          <w:rFonts w:ascii="黑体" w:eastAsia="黑体" w:hint="eastAsia"/>
        </w:rPr>
        <w:t>第四章 评审规程</w:t>
      </w:r>
    </w:p>
    <w:p>
      <w:pPr>
        <w:pStyle w:val="BodyText"/>
        <w:spacing w:before="3"/>
        <w:ind w:left="0"/>
        <w:rPr>
          <w:rFonts w:ascii="黑体"/>
          <w:sz w:val="24"/>
        </w:rPr>
      </w:pPr>
    </w:p>
    <w:p>
      <w:pPr>
        <w:pStyle w:val="BodyText"/>
        <w:spacing w:line="328" w:lineRule="auto"/>
        <w:ind w:right="1353" w:firstLine="638"/>
        <w:jc w:val="both"/>
      </w:pPr>
      <w:r>
        <w:rPr>
          <w:rFonts w:ascii="黑体" w:eastAsia="黑体" w:hint="eastAsia"/>
          <w:spacing w:val="8"/>
        </w:rPr>
        <w:t>第五条 </w:t>
      </w:r>
      <w:r>
        <w:rPr/>
        <w:t>申报单位应按照《暂行办法》评审规程向所在镇、</w:t>
      </w:r>
      <w:r>
        <w:rPr>
          <w:spacing w:val="-10"/>
        </w:rPr>
        <w:t>街道、基地管委会进行申报，并按照本实施细则要求，提供真实</w:t>
      </w:r>
      <w:r>
        <w:rPr>
          <w:spacing w:val="-6"/>
        </w:rPr>
        <w:t>完整的申报材料，如发现申报材料存在虚报、瞒报等作假行为， </w:t>
      </w:r>
      <w:r>
        <w:rPr>
          <w:spacing w:val="-14"/>
        </w:rPr>
        <w:t>将取消其申报资格，且在 </w:t>
      </w:r>
      <w:r>
        <w:rPr>
          <w:rFonts w:ascii="Times New Roman" w:eastAsia="Times New Roman"/>
        </w:rPr>
        <w:t>2 </w:t>
      </w:r>
      <w:r>
        <w:rPr>
          <w:spacing w:val="-7"/>
        </w:rPr>
        <w:t>年内不得再次申报；对已取得资金支</w:t>
      </w:r>
      <w:r>
        <w:rPr>
          <w:spacing w:val="-10"/>
        </w:rPr>
        <w:t>持的，收回支持资金；对构成犯罪的，移交司法机关依法追究其</w:t>
      </w:r>
      <w:r>
        <w:rPr>
          <w:spacing w:val="-4"/>
        </w:rPr>
        <w:t>刑事责任。</w:t>
      </w:r>
    </w:p>
    <w:p>
      <w:pPr>
        <w:pStyle w:val="BodyText"/>
        <w:spacing w:line="328" w:lineRule="auto"/>
        <w:ind w:right="1353" w:firstLine="638"/>
        <w:jc w:val="both"/>
      </w:pPr>
      <w:r>
        <w:rPr>
          <w:rFonts w:ascii="黑体" w:eastAsia="黑体" w:hint="eastAsia"/>
        </w:rPr>
        <w:t>第六条 </w:t>
      </w:r>
      <w:r>
        <w:rPr/>
        <w:t>申报单位所提交的申报材料，必须符合本实施细则各条款所规定的内容要求，同时可以提供其他的相关证明材料。申报单位须将项目申报表及其他材料和附件等申报材料编制成册，并骑缝加盖公章后按时提交，逾期不予受理。</w:t>
      </w:r>
    </w:p>
    <w:p>
      <w:pPr>
        <w:pStyle w:val="BodyText"/>
        <w:spacing w:before="143"/>
        <w:ind w:left="939" w:right="2121"/>
        <w:jc w:val="center"/>
        <w:rPr>
          <w:rFonts w:ascii="黑体" w:eastAsia="黑体" w:hint="eastAsia"/>
        </w:rPr>
      </w:pPr>
      <w:r>
        <w:rPr>
          <w:rFonts w:ascii="黑体" w:eastAsia="黑体" w:hint="eastAsia"/>
        </w:rPr>
        <w:t>第五章 附则</w:t>
      </w:r>
    </w:p>
    <w:p>
      <w:pPr>
        <w:pStyle w:val="BodyText"/>
        <w:spacing w:before="2"/>
        <w:ind w:left="0"/>
        <w:rPr>
          <w:rFonts w:ascii="黑体"/>
          <w:sz w:val="24"/>
        </w:rPr>
      </w:pPr>
    </w:p>
    <w:p>
      <w:pPr>
        <w:pStyle w:val="BodyText"/>
        <w:ind w:left="867"/>
      </w:pPr>
      <w:r>
        <w:rPr>
          <w:rFonts w:ascii="黑体" w:eastAsia="黑体" w:hint="eastAsia"/>
        </w:rPr>
        <w:t>第七条 </w:t>
      </w:r>
      <w:r>
        <w:rPr/>
        <w:t>对符合本实施细则规定且同时符合大兴区其他支持</w:t>
      </w:r>
    </w:p>
    <w:p>
      <w:pPr>
        <w:spacing w:after="0"/>
        <w:sectPr>
          <w:pgSz w:w="11910" w:h="16840"/>
          <w:pgMar w:header="0" w:footer="954" w:top="1580" w:bottom="1140" w:left="1360" w:right="0"/>
        </w:sectPr>
      </w:pPr>
    </w:p>
    <w:p>
      <w:pPr>
        <w:pStyle w:val="BodyText"/>
        <w:ind w:left="0"/>
        <w:rPr>
          <w:sz w:val="20"/>
        </w:rPr>
      </w:pPr>
      <w:r>
        <w:rPr/>
        <w:pict>
          <v:shape style="position:absolute;margin-left:14.101753pt;margin-top:401.402161pt;width:576pt;height:48pt;mso-position-horizontal-relative:page;mso-position-vertical-relative:page;z-index:251673600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11"/>
        <w:ind w:left="0"/>
        <w:rPr>
          <w:sz w:val="15"/>
        </w:rPr>
      </w:pPr>
    </w:p>
    <w:p>
      <w:pPr>
        <w:pStyle w:val="BodyText"/>
        <w:spacing w:line="326" w:lineRule="auto" w:before="57"/>
        <w:ind w:right="1346"/>
      </w:pPr>
      <w:r>
        <w:rPr/>
        <w:t>政策规定（含区级配套或负担资金的政策规定）的，按照“不重复支持”的原则予以支持，另有规定的除外。</w:t>
      </w:r>
    </w:p>
    <w:p>
      <w:pPr>
        <w:pStyle w:val="BodyText"/>
        <w:spacing w:before="3"/>
        <w:ind w:left="867"/>
        <w:rPr>
          <w:rFonts w:ascii="Times New Roman" w:eastAsia="Times New Roman"/>
        </w:rPr>
      </w:pPr>
      <w:r>
        <w:rPr>
          <w:rFonts w:ascii="黑体" w:eastAsia="黑体" w:hint="eastAsia"/>
        </w:rPr>
        <w:t>第八条 </w:t>
      </w:r>
      <w:r>
        <w:rPr/>
        <w:t>本实施细则由区经济和信息化局负责解释，自 </w:t>
      </w:r>
      <w:r>
        <w:rPr>
          <w:rFonts w:ascii="Times New Roman" w:eastAsia="Times New Roman"/>
        </w:rPr>
        <w:t>2021</w:t>
      </w:r>
    </w:p>
    <w:p>
      <w:pPr>
        <w:pStyle w:val="BodyText"/>
        <w:spacing w:line="326" w:lineRule="auto" w:before="152"/>
        <w:ind w:right="1410"/>
      </w:pPr>
      <w:r>
        <w:rPr>
          <w:spacing w:val="-38"/>
        </w:rPr>
        <w:t>年 </w:t>
      </w:r>
      <w:r>
        <w:rPr>
          <w:rFonts w:ascii="Times New Roman" w:eastAsia="Times New Roman"/>
        </w:rPr>
        <w:t>1 </w:t>
      </w:r>
      <w:r>
        <w:rPr>
          <w:spacing w:val="-38"/>
        </w:rPr>
        <w:t>月 </w:t>
      </w:r>
      <w:r>
        <w:rPr>
          <w:rFonts w:ascii="Times New Roman" w:eastAsia="Times New Roman"/>
        </w:rPr>
        <w:t>1 </w:t>
      </w:r>
      <w:r>
        <w:rPr>
          <w:spacing w:val="-8"/>
        </w:rPr>
        <w:t>日起与《大兴区促进高精尖产业发展暂行办法》</w:t>
      </w:r>
      <w:r>
        <w:rPr>
          <w:spacing w:val="-6"/>
        </w:rPr>
        <w:t>（</w:t>
      </w:r>
      <w:r>
        <w:rPr/>
        <w:t>京兴</w:t>
      </w:r>
      <w:r>
        <w:rPr>
          <w:spacing w:val="-2"/>
        </w:rPr>
        <w:t>政发〔</w:t>
      </w:r>
      <w:r>
        <w:rPr/>
        <w:t>2020〕16</w:t>
      </w:r>
      <w:r>
        <w:rPr>
          <w:spacing w:val="-41"/>
        </w:rPr>
        <w:t> 号</w:t>
      </w:r>
      <w:r>
        <w:rPr>
          <w:spacing w:val="-6"/>
        </w:rPr>
        <w:t>）</w:t>
      </w:r>
      <w:r>
        <w:rPr>
          <w:spacing w:val="-2"/>
        </w:rPr>
        <w:t>同步实施。</w:t>
      </w:r>
    </w:p>
    <w:sectPr>
      <w:pgSz w:w="11910" w:h="16840"/>
      <w:pgMar w:header="0" w:footer="954" w:top="1580" w:bottom="1140" w:left="1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方正小标宋简体">
    <w:altName w:val="方正小标宋简体"/>
    <w:charset w:val="86"/>
    <w:family w:val="script"/>
    <w:pitch w:val="fixed"/>
  </w:font>
  <w:font w:name="宋体">
    <w:altName w:val="宋体"/>
    <w:charset w:val="86"/>
    <w:family w:val="auto"/>
    <w:pitch w:val="variable"/>
  </w:font>
  <w:font w:name="仿宋_GB2312">
    <w:altName w:val="仿宋_GB2312"/>
    <w:charset w:val="86"/>
    <w:family w:val="modern"/>
    <w:pitch w:val="fixed"/>
  </w:font>
  <w:font w:name="黑体">
    <w:altName w:val="黑体"/>
    <w:charset w:val="86"/>
    <w:family w:val="modern"/>
    <w:pitch w:val="fixed"/>
  </w:font>
  <w:font w:name="Calibri">
    <w:altName w:val="Calibri"/>
    <w:charset w:val="0"/>
    <w:family w:val="swiss"/>
    <w:pitch w:val="variable"/>
  </w:font>
  <w:font w:name="楷体_GB2312">
    <w:altName w:val="楷体_GB2312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8.359009pt;margin-top:783.184692pt;width:37.050pt;height:15.9pt;mso-position-horizontal-relative:page;mso-position-vertical-relative:page;z-index:-252097536" type="#_x0000_t202" filled="false" stroked="false">
          <v:textbox inset="0,0,0,0">
            <w:txbxContent>
              <w:p>
                <w:pPr>
                  <w:spacing w:line="318" w:lineRule="exact" w:before="0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宋体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宋体"/>
                    <w:sz w:val="28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8.440002pt;margin-top:783.184692pt;width:36.8pt;height:15.9pt;mso-position-horizontal-relative:page;mso-position-vertical-relative:page;z-index:-252096512" type="#_x0000_t202" filled="false" stroked="false">
          <v:textbox inset="0,0,0,0">
            <w:txbxContent>
              <w:p>
                <w:pPr>
                  <w:spacing w:line="318" w:lineRule="exact" w:before="0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宋体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宋体"/>
                    <w:sz w:val="28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8.440002pt;margin-top:783.184692pt;width:43.75pt;height:15.9pt;mso-position-horizontal-relative:page;mso-position-vertical-relative:page;z-index:-252095488" type="#_x0000_t202" filled="false" stroked="false">
          <v:textbox inset="0,0,0,0">
            <w:txbxContent>
              <w:p>
                <w:pPr>
                  <w:spacing w:line="318" w:lineRule="exact" w:before="0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宋体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宋体"/>
                    <w:sz w:val="28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81.399994pt;margin-top:783.184692pt;width:44pt;height:15.9pt;mso-position-horizontal-relative:page;mso-position-vertical-relative:page;z-index:-252094464" type="#_x0000_t202" filled="false" stroked="false">
          <v:textbox inset="0,0,0,0">
            <w:txbxContent>
              <w:p>
                <w:pPr>
                  <w:spacing w:line="318" w:lineRule="exact" w:before="0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宋体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宋体"/>
                    <w:sz w:val="28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2"/>
      <w:numFmt w:val="decimal"/>
      <w:lvlText w:val="(%1)"/>
      <w:lvlJc w:val="left"/>
      <w:pPr>
        <w:ind w:left="1350" w:hanging="484"/>
        <w:jc w:val="left"/>
      </w:pPr>
      <w:rPr>
        <w:rFonts w:hint="default" w:ascii="仿宋_GB2312" w:hAnsi="仿宋_GB2312" w:eastAsia="仿宋_GB2312" w:cs="仿宋_GB2312"/>
        <w:spacing w:val="-3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78" w:hanging="48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97" w:hanging="48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115" w:hanging="48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034" w:hanging="48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53" w:hanging="48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71" w:hanging="48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90" w:hanging="48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708" w:hanging="484"/>
      </w:pPr>
      <w:rPr>
        <w:rFonts w:hint="default"/>
        <w:lang w:val="zh-CN" w:eastAsia="zh-CN" w:bidi="zh-CN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265" w:hanging="39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88" w:hanging="39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17" w:hanging="39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045" w:hanging="39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74" w:hanging="39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03" w:hanging="39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31" w:hanging="39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60" w:hanging="39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688" w:hanging="399"/>
      </w:pPr>
      <w:rPr>
        <w:rFonts w:hint="default"/>
        <w:lang w:val="zh-CN" w:eastAsia="zh-CN" w:bidi="zh-CN"/>
      </w:rPr>
    </w:lvl>
  </w:abstractNum>
  <w:abstractNum w:abstractNumId="20">
    <w:multiLevelType w:val="hybridMultilevel"/>
    <w:lvl w:ilvl="0">
      <w:start w:val="2"/>
      <w:numFmt w:val="decimal"/>
      <w:lvlText w:val="(%1)"/>
      <w:lvlJc w:val="left"/>
      <w:pPr>
        <w:ind w:left="1350" w:hanging="484"/>
        <w:jc w:val="left"/>
      </w:pPr>
      <w:rPr>
        <w:rFonts w:hint="default" w:ascii="仿宋_GB2312" w:hAnsi="仿宋_GB2312" w:eastAsia="仿宋_GB2312" w:cs="仿宋_GB2312"/>
        <w:spacing w:val="-3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78" w:hanging="48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97" w:hanging="48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115" w:hanging="48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034" w:hanging="48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53" w:hanging="48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71" w:hanging="48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90" w:hanging="48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708" w:hanging="484"/>
      </w:pPr>
      <w:rPr>
        <w:rFonts w:hint="default"/>
        <w:lang w:val="zh-CN" w:eastAsia="zh-CN" w:bidi="zh-CN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265" w:hanging="39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88" w:hanging="39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17" w:hanging="39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045" w:hanging="39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74" w:hanging="39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03" w:hanging="39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31" w:hanging="39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60" w:hanging="39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688" w:hanging="399"/>
      </w:pPr>
      <w:rPr>
        <w:rFonts w:hint="default"/>
        <w:lang w:val="zh-CN" w:eastAsia="zh-CN" w:bidi="zh-CN"/>
      </w:rPr>
    </w:lvl>
  </w:abstractNum>
  <w:abstractNum w:abstractNumId="18">
    <w:multiLevelType w:val="hybridMultilevel"/>
    <w:lvl w:ilvl="0">
      <w:start w:val="2"/>
      <w:numFmt w:val="decimal"/>
      <w:lvlText w:val="(%1)"/>
      <w:lvlJc w:val="left"/>
      <w:pPr>
        <w:ind w:left="1350" w:hanging="484"/>
        <w:jc w:val="left"/>
      </w:pPr>
      <w:rPr>
        <w:rFonts w:hint="default" w:ascii="仿宋_GB2312" w:hAnsi="仿宋_GB2312" w:eastAsia="仿宋_GB2312" w:cs="仿宋_GB2312"/>
        <w:spacing w:val="-3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78" w:hanging="48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97" w:hanging="48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115" w:hanging="48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034" w:hanging="48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53" w:hanging="48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71" w:hanging="48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90" w:hanging="48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708" w:hanging="484"/>
      </w:pPr>
      <w:rPr>
        <w:rFonts w:hint="default"/>
        <w:lang w:val="zh-CN" w:eastAsia="zh-CN" w:bidi="zh-CN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265" w:hanging="39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88" w:hanging="39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17" w:hanging="39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045" w:hanging="39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74" w:hanging="39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03" w:hanging="39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31" w:hanging="39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60" w:hanging="39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688" w:hanging="399"/>
      </w:pPr>
      <w:rPr>
        <w:rFonts w:hint="default"/>
        <w:lang w:val="zh-CN" w:eastAsia="zh-CN" w:bidi="zh-CN"/>
      </w:rPr>
    </w:lvl>
  </w:abstractNum>
  <w:abstractNum w:abstractNumId="16">
    <w:multiLevelType w:val="hybridMultilevel"/>
    <w:lvl w:ilvl="0">
      <w:start w:val="2"/>
      <w:numFmt w:val="decimal"/>
      <w:lvlText w:val="(%1)"/>
      <w:lvlJc w:val="left"/>
      <w:pPr>
        <w:ind w:left="1350" w:hanging="484"/>
        <w:jc w:val="left"/>
      </w:pPr>
      <w:rPr>
        <w:rFonts w:hint="default" w:ascii="仿宋_GB2312" w:hAnsi="仿宋_GB2312" w:eastAsia="仿宋_GB2312" w:cs="仿宋_GB2312"/>
        <w:spacing w:val="-3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78" w:hanging="48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97" w:hanging="48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115" w:hanging="48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034" w:hanging="48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53" w:hanging="48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71" w:hanging="48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90" w:hanging="48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708" w:hanging="484"/>
      </w:pPr>
      <w:rPr>
        <w:rFonts w:hint="default"/>
        <w:lang w:val="zh-CN" w:eastAsia="zh-CN" w:bidi="zh-CN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265" w:hanging="39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88" w:hanging="39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17" w:hanging="39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045" w:hanging="39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74" w:hanging="39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03" w:hanging="39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31" w:hanging="39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60" w:hanging="39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688" w:hanging="399"/>
      </w:pPr>
      <w:rPr>
        <w:rFonts w:hint="default"/>
        <w:lang w:val="zh-CN" w:eastAsia="zh-CN" w:bidi="zh-CN"/>
      </w:rPr>
    </w:lvl>
  </w:abstractNum>
  <w:abstractNum w:abstractNumId="14">
    <w:multiLevelType w:val="hybridMultilevel"/>
    <w:lvl w:ilvl="0">
      <w:start w:val="2"/>
      <w:numFmt w:val="decimal"/>
      <w:lvlText w:val="(%1)"/>
      <w:lvlJc w:val="left"/>
      <w:pPr>
        <w:ind w:left="1350" w:hanging="484"/>
        <w:jc w:val="left"/>
      </w:pPr>
      <w:rPr>
        <w:rFonts w:hint="default" w:ascii="仿宋_GB2312" w:hAnsi="仿宋_GB2312" w:eastAsia="仿宋_GB2312" w:cs="仿宋_GB2312"/>
        <w:spacing w:val="-3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78" w:hanging="48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97" w:hanging="48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115" w:hanging="48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034" w:hanging="48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53" w:hanging="48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71" w:hanging="48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90" w:hanging="48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708" w:hanging="484"/>
      </w:pPr>
      <w:rPr>
        <w:rFonts w:hint="default"/>
        <w:lang w:val="zh-CN" w:eastAsia="zh-CN" w:bidi="zh-CN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265" w:hanging="39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88" w:hanging="39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17" w:hanging="39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045" w:hanging="39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74" w:hanging="39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03" w:hanging="39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31" w:hanging="39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60" w:hanging="39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688" w:hanging="399"/>
      </w:pPr>
      <w:rPr>
        <w:rFonts w:hint="default"/>
        <w:lang w:val="zh-CN" w:eastAsia="zh-CN" w:bidi="zh-CN"/>
      </w:rPr>
    </w:lvl>
  </w:abstractNum>
  <w:abstractNum w:abstractNumId="12">
    <w:multiLevelType w:val="hybridMultilevel"/>
    <w:lvl w:ilvl="0">
      <w:start w:val="2"/>
      <w:numFmt w:val="decimal"/>
      <w:lvlText w:val="(%1)"/>
      <w:lvlJc w:val="left"/>
      <w:pPr>
        <w:ind w:left="1350" w:hanging="484"/>
        <w:jc w:val="left"/>
      </w:pPr>
      <w:rPr>
        <w:rFonts w:hint="default" w:ascii="仿宋_GB2312" w:hAnsi="仿宋_GB2312" w:eastAsia="仿宋_GB2312" w:cs="仿宋_GB2312"/>
        <w:spacing w:val="-3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78" w:hanging="48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97" w:hanging="48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115" w:hanging="48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034" w:hanging="48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53" w:hanging="48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71" w:hanging="48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90" w:hanging="48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708" w:hanging="484"/>
      </w:pPr>
      <w:rPr>
        <w:rFonts w:hint="default"/>
        <w:lang w:val="zh-CN" w:eastAsia="zh-CN" w:bidi="zh-CN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265" w:hanging="39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88" w:hanging="39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17" w:hanging="39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045" w:hanging="39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74" w:hanging="39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03" w:hanging="39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31" w:hanging="39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60" w:hanging="39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688" w:hanging="399"/>
      </w:pPr>
      <w:rPr>
        <w:rFonts w:hint="default"/>
        <w:lang w:val="zh-CN" w:eastAsia="zh-CN" w:bidi="zh-CN"/>
      </w:rPr>
    </w:lvl>
  </w:abstractNum>
  <w:abstractNum w:abstractNumId="10">
    <w:multiLevelType w:val="hybridMultilevel"/>
    <w:lvl w:ilvl="0">
      <w:start w:val="2"/>
      <w:numFmt w:val="decimal"/>
      <w:lvlText w:val="(%1)"/>
      <w:lvlJc w:val="left"/>
      <w:pPr>
        <w:ind w:left="1350" w:hanging="484"/>
        <w:jc w:val="left"/>
      </w:pPr>
      <w:rPr>
        <w:rFonts w:hint="default" w:ascii="仿宋_GB2312" w:hAnsi="仿宋_GB2312" w:eastAsia="仿宋_GB2312" w:cs="仿宋_GB2312"/>
        <w:spacing w:val="-3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78" w:hanging="48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97" w:hanging="48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115" w:hanging="48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034" w:hanging="48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53" w:hanging="48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71" w:hanging="48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90" w:hanging="48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708" w:hanging="484"/>
      </w:pPr>
      <w:rPr>
        <w:rFonts w:hint="default"/>
        <w:lang w:val="zh-CN" w:eastAsia="zh-CN" w:bidi="zh-CN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65" w:hanging="39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88" w:hanging="39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17" w:hanging="39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045" w:hanging="39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74" w:hanging="39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03" w:hanging="39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31" w:hanging="39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60" w:hanging="39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688" w:hanging="399"/>
      </w:pPr>
      <w:rPr>
        <w:rFonts w:hint="default"/>
        <w:lang w:val="zh-CN" w:eastAsia="zh-CN" w:bidi="zh-CN"/>
      </w:rPr>
    </w:lvl>
  </w:abstractNum>
  <w:abstractNum w:abstractNumId="8">
    <w:multiLevelType w:val="hybridMultilevel"/>
    <w:lvl w:ilvl="0">
      <w:start w:val="2"/>
      <w:numFmt w:val="decimal"/>
      <w:lvlText w:val="(%1)"/>
      <w:lvlJc w:val="left"/>
      <w:pPr>
        <w:ind w:left="1350" w:hanging="484"/>
        <w:jc w:val="left"/>
      </w:pPr>
      <w:rPr>
        <w:rFonts w:hint="default" w:ascii="仿宋_GB2312" w:hAnsi="仿宋_GB2312" w:eastAsia="仿宋_GB2312" w:cs="仿宋_GB2312"/>
        <w:spacing w:val="-3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78" w:hanging="48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97" w:hanging="48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115" w:hanging="48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034" w:hanging="48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53" w:hanging="48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71" w:hanging="48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90" w:hanging="48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708" w:hanging="484"/>
      </w:pPr>
      <w:rPr>
        <w:rFonts w:hint="default"/>
        <w:lang w:val="zh-CN" w:eastAsia="zh-CN" w:bidi="zh-CN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265" w:hanging="39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88" w:hanging="39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17" w:hanging="39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045" w:hanging="39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74" w:hanging="39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03" w:hanging="39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31" w:hanging="39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60" w:hanging="39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688" w:hanging="399"/>
      </w:pPr>
      <w:rPr>
        <w:rFonts w:hint="default"/>
        <w:lang w:val="zh-CN" w:eastAsia="zh-CN" w:bidi="zh-CN"/>
      </w:rPr>
    </w:lvl>
  </w:abstractNum>
  <w:abstractNum w:abstractNumId="6">
    <w:multiLevelType w:val="hybridMultilevel"/>
    <w:lvl w:ilvl="0">
      <w:start w:val="2"/>
      <w:numFmt w:val="decimal"/>
      <w:lvlText w:val="(%1)"/>
      <w:lvlJc w:val="left"/>
      <w:pPr>
        <w:ind w:left="1350" w:hanging="484"/>
        <w:jc w:val="left"/>
      </w:pPr>
      <w:rPr>
        <w:rFonts w:hint="default" w:ascii="仿宋_GB2312" w:hAnsi="仿宋_GB2312" w:eastAsia="仿宋_GB2312" w:cs="仿宋_GB2312"/>
        <w:spacing w:val="-3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78" w:hanging="48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97" w:hanging="48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115" w:hanging="48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034" w:hanging="48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53" w:hanging="48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71" w:hanging="48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90" w:hanging="48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708" w:hanging="484"/>
      </w:pPr>
      <w:rPr>
        <w:rFonts w:hint="default"/>
        <w:lang w:val="zh-CN" w:eastAsia="zh-CN" w:bidi="zh-CN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65" w:hanging="39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88" w:hanging="39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17" w:hanging="39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045" w:hanging="39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74" w:hanging="39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03" w:hanging="39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31" w:hanging="39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60" w:hanging="39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688" w:hanging="399"/>
      </w:pPr>
      <w:rPr>
        <w:rFonts w:hint="default"/>
        <w:lang w:val="zh-CN" w:eastAsia="zh-CN" w:bidi="zh-CN"/>
      </w:rPr>
    </w:lvl>
  </w:abstractNum>
  <w:abstractNum w:abstractNumId="4">
    <w:multiLevelType w:val="hybridMultilevel"/>
    <w:lvl w:ilvl="0">
      <w:start w:val="2"/>
      <w:numFmt w:val="decimal"/>
      <w:lvlText w:val="(%1)"/>
      <w:lvlJc w:val="left"/>
      <w:pPr>
        <w:ind w:left="1350" w:hanging="484"/>
        <w:jc w:val="left"/>
      </w:pPr>
      <w:rPr>
        <w:rFonts w:hint="default" w:ascii="仿宋_GB2312" w:hAnsi="仿宋_GB2312" w:eastAsia="仿宋_GB2312" w:cs="仿宋_GB2312"/>
        <w:spacing w:val="-3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78" w:hanging="48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97" w:hanging="48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115" w:hanging="48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034" w:hanging="48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53" w:hanging="48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71" w:hanging="48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90" w:hanging="48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708" w:hanging="484"/>
      </w:pPr>
      <w:rPr>
        <w:rFonts w:hint="default"/>
        <w:lang w:val="zh-CN" w:eastAsia="zh-CN" w:bidi="zh-CN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65" w:hanging="39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88" w:hanging="39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17" w:hanging="39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045" w:hanging="39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74" w:hanging="39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03" w:hanging="39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31" w:hanging="39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60" w:hanging="39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688" w:hanging="399"/>
      </w:pPr>
      <w:rPr>
        <w:rFonts w:hint="default"/>
        <w:lang w:val="zh-CN" w:eastAsia="zh-CN" w:bidi="zh-CN"/>
      </w:rPr>
    </w:lvl>
  </w:abstractNum>
  <w:abstractNum w:abstractNumId="2">
    <w:multiLevelType w:val="hybridMultilevel"/>
    <w:lvl w:ilvl="0">
      <w:start w:val="4"/>
      <w:numFmt w:val="decimal"/>
      <w:lvlText w:val="(%1)"/>
      <w:lvlJc w:val="left"/>
      <w:pPr>
        <w:ind w:left="1350" w:hanging="484"/>
        <w:jc w:val="left"/>
      </w:pPr>
      <w:rPr>
        <w:rFonts w:hint="default" w:ascii="仿宋_GB2312" w:hAnsi="仿宋_GB2312" w:eastAsia="仿宋_GB2312" w:cs="仿宋_GB2312"/>
        <w:spacing w:val="-3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78" w:hanging="48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97" w:hanging="48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115" w:hanging="48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034" w:hanging="48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53" w:hanging="48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71" w:hanging="48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90" w:hanging="48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708" w:hanging="484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65" w:hanging="39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88" w:hanging="39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117" w:hanging="39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045" w:hanging="39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74" w:hanging="39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903" w:hanging="39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831" w:hanging="39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60" w:hanging="39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688" w:hanging="39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8" w:hanging="322"/>
        <w:jc w:val="left"/>
      </w:pPr>
      <w:rPr>
        <w:rFonts w:hint="default"/>
        <w:spacing w:val="-3"/>
        <w:w w:val="10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16" w:hanging="32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053" w:hanging="32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989" w:hanging="32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926" w:hanging="32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863" w:hanging="32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799" w:hanging="32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736" w:hanging="32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672" w:hanging="322"/>
      </w:pPr>
      <w:rPr>
        <w:rFonts w:hint="default"/>
        <w:lang w:val="zh-CN" w:eastAsia="zh-CN" w:bidi="zh-CN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22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350" w:hanging="484"/>
    </w:pPr>
    <w:rPr>
      <w:rFonts w:ascii="仿宋_GB2312" w:hAnsi="仿宋_GB2312" w:eastAsia="仿宋_GB2312" w:cs="仿宋_GB2312"/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北京市大兴区经济和信息化委员会</dc:title>
  <dcterms:created xsi:type="dcterms:W3CDTF">2023-11-20T09:31:32Z</dcterms:created>
  <dcterms:modified xsi:type="dcterms:W3CDTF">2023-11-20T09:31:32Z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2023-11-20T00:00:00Z</vt:filetime>
  </property>
</Properties>
</file>