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348" w:line="219" w:lineRule="auto"/>
        <w:jc w:val="right"/>
        <w:outlineLvl w:val="0"/>
        <w:rPr>
          <w:rFonts w:ascii="宋体" w:hAnsi="宋体" w:eastAsia="宋体" w:cs="宋体"/>
          <w:sz w:val="107"/>
          <w:szCs w:val="107"/>
        </w:rPr>
      </w:pPr>
      <w:r>
        <w:rPr>
          <w:rFonts w:ascii="宋体" w:hAnsi="宋体" w:eastAsia="宋体" w:cs="宋体"/>
          <w:b/>
          <w:bCs/>
          <w:color w:val="DF0060"/>
          <w:spacing w:val="-67"/>
          <w:w w:val="62"/>
          <w:sz w:val="107"/>
          <w:szCs w:val="107"/>
        </w:rPr>
        <w:t>北京市大兴区</w:t>
      </w:r>
      <w:r>
        <w:rPr>
          <w:rFonts w:ascii="宋体" w:hAnsi="宋体" w:eastAsia="宋体" w:cs="宋体"/>
          <w:b/>
          <w:bCs/>
          <w:color w:val="DF0060"/>
          <w:spacing w:val="-66"/>
          <w:w w:val="62"/>
          <w:sz w:val="107"/>
          <w:szCs w:val="107"/>
        </w:rPr>
        <w:t>青云店镇人民政</w:t>
      </w:r>
      <w:r>
        <w:rPr>
          <w:rFonts w:ascii="宋体" w:hAnsi="宋体" w:eastAsia="宋体" w:cs="宋体"/>
          <w:b/>
          <w:bCs/>
          <w:color w:val="DF0060"/>
          <w:spacing w:val="-46"/>
          <w:w w:val="62"/>
          <w:sz w:val="107"/>
          <w:szCs w:val="107"/>
        </w:rPr>
        <w:t>府</w:t>
      </w:r>
    </w:p>
    <w:p>
      <w:pPr>
        <w:pStyle w:val="2"/>
        <w:spacing w:line="282" w:lineRule="auto"/>
      </w:pPr>
    </w:p>
    <w:p>
      <w:pPr>
        <w:pStyle w:val="2"/>
        <w:spacing w:line="282" w:lineRule="auto"/>
      </w:pPr>
    </w:p>
    <w:p>
      <w:pPr>
        <w:pStyle w:val="2"/>
        <w:spacing w:line="282" w:lineRule="auto"/>
      </w:pPr>
    </w:p>
    <w:p>
      <w:pPr>
        <w:spacing w:before="107" w:line="233" w:lineRule="auto"/>
        <w:ind w:left="464"/>
        <w:rPr>
          <w:rFonts w:ascii="楷体" w:hAnsi="楷体" w:eastAsia="楷体" w:cs="楷体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 xml:space="preserve">兴青政文〔2023〕32号                </w:t>
      </w:r>
    </w:p>
    <w:p>
      <w:pPr>
        <w:spacing w:before="123" w:line="60" w:lineRule="exact"/>
        <w:ind w:firstLine="25"/>
      </w:pPr>
      <w:r>
        <w:rPr>
          <w:position w:val="-1"/>
        </w:rPr>
        <w:drawing>
          <wp:inline distT="0" distB="0" distL="0" distR="0">
            <wp:extent cx="55873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7956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26" w:lineRule="auto"/>
      </w:pPr>
    </w:p>
    <w:p>
      <w:pPr>
        <w:spacing w:before="153" w:line="208" w:lineRule="auto"/>
        <w:ind w:left="136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6"/>
          <w:sz w:val="47"/>
          <w:szCs w:val="47"/>
        </w:rPr>
        <w:t>北京市大兴区青云店镇人民政府</w:t>
      </w:r>
    </w:p>
    <w:p>
      <w:pPr>
        <w:spacing w:before="1" w:line="209" w:lineRule="auto"/>
        <w:ind w:left="65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9"/>
          <w:sz w:val="47"/>
          <w:szCs w:val="47"/>
        </w:rPr>
        <w:t>关于印发《2022年度青云店镇菜田补贴</w:t>
      </w:r>
    </w:p>
    <w:p>
      <w:pPr>
        <w:spacing w:line="220" w:lineRule="auto"/>
        <w:ind w:left="268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实施方案》的通知</w:t>
      </w:r>
    </w:p>
    <w:p>
      <w:pPr>
        <w:pStyle w:val="2"/>
        <w:spacing w:line="267" w:lineRule="auto"/>
      </w:pPr>
    </w:p>
    <w:p>
      <w:pPr>
        <w:pStyle w:val="2"/>
        <w:spacing w:line="268" w:lineRule="auto"/>
      </w:pPr>
    </w:p>
    <w:p>
      <w:pPr>
        <w:spacing w:before="107" w:line="220" w:lineRule="auto"/>
        <w:ind w:left="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8"/>
          <w:sz w:val="33"/>
          <w:szCs w:val="33"/>
        </w:rPr>
        <w:t>各村，各相关单位：</w:t>
      </w:r>
    </w:p>
    <w:p>
      <w:pPr>
        <w:spacing w:before="152" w:line="307" w:lineRule="auto"/>
        <w:ind w:firstLine="645"/>
        <w:jc w:val="both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8"/>
          <w:sz w:val="33"/>
          <w:szCs w:val="33"/>
        </w:rPr>
        <w:t>根据区农业农村局、区财政局、区农业服务中心联合印发的</w:t>
      </w:r>
      <w:r>
        <w:rPr>
          <w:rFonts w:ascii="楷体" w:hAnsi="楷体" w:eastAsia="楷体" w:cs="楷体"/>
          <w:spacing w:val="9"/>
          <w:sz w:val="33"/>
          <w:szCs w:val="33"/>
        </w:rPr>
        <w:t xml:space="preserve">  </w:t>
      </w:r>
      <w:r>
        <w:rPr>
          <w:rFonts w:ascii="楷体" w:hAnsi="楷体" w:eastAsia="楷体" w:cs="楷体"/>
          <w:spacing w:val="-10"/>
          <w:sz w:val="33"/>
          <w:szCs w:val="33"/>
        </w:rPr>
        <w:t>《关于印发&lt;2022年度北京市大兴区菜田补贴实施方案&gt;的通知》</w:t>
      </w:r>
      <w:r>
        <w:rPr>
          <w:rFonts w:ascii="楷体" w:hAnsi="楷体" w:eastAsia="楷体" w:cs="楷体"/>
          <w:spacing w:val="9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4"/>
          <w:sz w:val="33"/>
          <w:szCs w:val="33"/>
        </w:rPr>
        <w:t>(京兴政农发〔2023〕30号)的要求，现结合实际，制定了《20</w:t>
      </w:r>
      <w:r>
        <w:rPr>
          <w:rFonts w:ascii="楷体" w:hAnsi="楷体" w:eastAsia="楷体" w:cs="楷体"/>
          <w:spacing w:val="-15"/>
          <w:sz w:val="33"/>
          <w:szCs w:val="33"/>
        </w:rPr>
        <w:t>22</w:t>
      </w:r>
      <w:r>
        <w:rPr>
          <w:rFonts w:ascii="楷体" w:hAnsi="楷体" w:eastAsia="楷体" w:cs="楷体"/>
          <w:sz w:val="33"/>
          <w:szCs w:val="33"/>
        </w:rPr>
        <w:t xml:space="preserve">  </w:t>
      </w:r>
      <w:r>
        <w:rPr>
          <w:rFonts w:ascii="楷体" w:hAnsi="楷体" w:eastAsia="楷体" w:cs="楷体"/>
          <w:spacing w:val="-11"/>
          <w:sz w:val="33"/>
          <w:szCs w:val="33"/>
        </w:rPr>
        <w:t>年度青云店镇菜田补贴实施方案》,现将方案印发给你们，请认</w:t>
      </w:r>
    </w:p>
    <w:p>
      <w:pPr>
        <w:spacing w:line="220" w:lineRule="auto"/>
        <w:ind w:left="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6"/>
          <w:sz w:val="33"/>
          <w:szCs w:val="33"/>
        </w:rPr>
        <w:t>真组织实施，抓紧工作落实。</w:t>
      </w:r>
    </w:p>
    <w:p>
      <w:pPr>
        <w:pStyle w:val="2"/>
        <w:spacing w:line="302" w:lineRule="auto"/>
      </w:pPr>
    </w:p>
    <w:p>
      <w:pPr>
        <w:pStyle w:val="2"/>
        <w:spacing w:line="302" w:lineRule="auto"/>
      </w:pPr>
    </w:p>
    <w:p>
      <w:pPr>
        <w:spacing w:before="108" w:line="580" w:lineRule="exact"/>
        <w:ind w:left="3744"/>
        <w:rPr>
          <w:rFonts w:ascii="楷体" w:hAnsi="楷体" w:eastAsia="楷体" w:cs="楷体"/>
          <w:sz w:val="33"/>
          <w:szCs w:val="3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-445135</wp:posOffset>
            </wp:positionV>
            <wp:extent cx="1536700" cy="15557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6765" cy="15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-13"/>
          <w:position w:val="18"/>
          <w:sz w:val="33"/>
          <w:szCs w:val="33"/>
        </w:rPr>
        <w:t>北京市大兴区青云店镇人民政府</w:t>
      </w:r>
    </w:p>
    <w:p>
      <w:pPr>
        <w:spacing w:line="225" w:lineRule="auto"/>
        <w:ind w:left="426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9"/>
          <w:sz w:val="33"/>
          <w:szCs w:val="33"/>
        </w:rPr>
        <w:t>2023年10月19日</w:t>
      </w:r>
    </w:p>
    <w:p>
      <w:pPr>
        <w:spacing w:line="225" w:lineRule="auto"/>
        <w:rPr>
          <w:rFonts w:ascii="楷体" w:hAnsi="楷体" w:eastAsia="楷体" w:cs="楷体"/>
          <w:sz w:val="33"/>
          <w:szCs w:val="33"/>
        </w:rPr>
        <w:sectPr>
          <w:headerReference r:id="rId5" w:type="default"/>
          <w:footerReference r:id="rId6" w:type="default"/>
          <w:pgSz w:w="11900" w:h="16830"/>
          <w:pgMar w:top="1430" w:right="1535" w:bottom="1008" w:left="1424" w:header="0" w:footer="799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40" w:line="230" w:lineRule="auto"/>
        <w:ind w:left="2665" w:right="1433" w:hanging="137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7"/>
          <w:sz w:val="43"/>
          <w:szCs w:val="43"/>
        </w:rPr>
        <w:t>2022年度北京市大兴区青云店镇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菜田补贴实施方案</w:t>
      </w:r>
    </w:p>
    <w:p>
      <w:pPr>
        <w:pStyle w:val="2"/>
        <w:spacing w:line="313" w:lineRule="auto"/>
      </w:pPr>
    </w:p>
    <w:p>
      <w:pPr>
        <w:pStyle w:val="2"/>
        <w:spacing w:line="314" w:lineRule="auto"/>
      </w:pPr>
    </w:p>
    <w:p>
      <w:pPr>
        <w:spacing w:before="104" w:line="334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根据区农业农村局、区财政局、区农业服务中心联合</w:t>
      </w:r>
      <w:r>
        <w:rPr>
          <w:rFonts w:ascii="仿宋" w:hAnsi="仿宋" w:eastAsia="仿宋" w:cs="仿宋"/>
          <w:spacing w:val="-9"/>
          <w:sz w:val="32"/>
          <w:szCs w:val="32"/>
        </w:rPr>
        <w:t>印发的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《关于印发&lt;2022年度北京市大兴区菜田补贴实施方案&gt;的通知》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(京兴政农发〔2023〕30号)的要求，为提高种植主体积极性，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稳定全市蔬菜生产面积，支持蔬菜产业健康有序发展，继续实施</w:t>
      </w:r>
    </w:p>
    <w:p>
      <w:pPr>
        <w:spacing w:before="1" w:line="217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菜田补贴工作，结合青云店镇实际情况，特制定本实施方案。</w:t>
      </w:r>
    </w:p>
    <w:p>
      <w:pPr>
        <w:spacing w:before="218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一、补贴范围</w:t>
      </w:r>
    </w:p>
    <w:p>
      <w:pPr>
        <w:spacing w:before="189" w:line="218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本镇范围内2022年蔬菜实际生产面积，包括：</w:t>
      </w:r>
    </w:p>
    <w:p>
      <w:pPr>
        <w:spacing w:before="212" w:line="218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1.露地蔬菜和设施蔬菜，补贴面积为实际生产的占地面积；</w:t>
      </w:r>
    </w:p>
    <w:p>
      <w:pPr>
        <w:spacing w:before="191" w:line="337" w:lineRule="auto"/>
        <w:ind w:left="9" w:right="20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2.植物工厂蔬菜、智能连栋温室蔬菜和工厂化食用菌，补贴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面积按照5吨产量折合1亩生产占地面积计算，产量以实际</w:t>
      </w:r>
      <w:r>
        <w:rPr>
          <w:rFonts w:ascii="仿宋" w:hAnsi="仿宋" w:eastAsia="仿宋" w:cs="仿宋"/>
          <w:spacing w:val="2"/>
          <w:sz w:val="32"/>
          <w:szCs w:val="32"/>
        </w:rPr>
        <w:t>生产</w:t>
      </w:r>
    </w:p>
    <w:p>
      <w:pPr>
        <w:spacing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数据为依据；</w:t>
      </w:r>
    </w:p>
    <w:p>
      <w:pPr>
        <w:spacing w:before="187" w:line="587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9"/>
          <w:sz w:val="32"/>
          <w:szCs w:val="32"/>
        </w:rPr>
        <w:t>3.工厂化芽苗菜，补贴面积按照15吨产量折合1亩生产占</w:t>
      </w:r>
    </w:p>
    <w:p>
      <w:pPr>
        <w:spacing w:before="1" w:line="221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地面积计算，产量以实际生产数据为依据。</w:t>
      </w:r>
    </w:p>
    <w:p>
      <w:pPr>
        <w:spacing w:before="205" w:line="330" w:lineRule="auto"/>
        <w:ind w:left="9" w:right="73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对地块撂荒和设施闲置、</w:t>
      </w:r>
      <w:r>
        <w:rPr>
          <w:rFonts w:ascii="仿宋" w:hAnsi="仿宋" w:eastAsia="仿宋" w:cs="仿宋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一年内发生重大生产安全事故</w:t>
      </w:r>
      <w:r>
        <w:rPr>
          <w:rFonts w:ascii="仿宋" w:hAnsi="仿宋" w:eastAsia="仿宋" w:cs="仿宋"/>
          <w:spacing w:val="-19"/>
          <w:sz w:val="32"/>
          <w:szCs w:val="32"/>
        </w:rPr>
        <w:t>、农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产品质量检查不合格、出现“大棚房”问题或用地不规范等情况，</w:t>
      </w:r>
    </w:p>
    <w:p>
      <w:pPr>
        <w:spacing w:before="1" w:line="219" w:lineRule="auto"/>
        <w:ind w:left="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不予补贴。</w:t>
      </w:r>
    </w:p>
    <w:p>
      <w:pPr>
        <w:spacing w:before="215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二、补贴标准</w:t>
      </w:r>
    </w:p>
    <w:p>
      <w:pPr>
        <w:spacing w:before="180" w:line="590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0"/>
          <w:sz w:val="32"/>
          <w:szCs w:val="32"/>
        </w:rPr>
        <w:t>菜田补贴标准为每年600元/亩。已经通过2022</w:t>
      </w:r>
      <w:r>
        <w:rPr>
          <w:rFonts w:ascii="仿宋" w:hAnsi="仿宋" w:eastAsia="仿宋" w:cs="仿宋"/>
          <w:spacing w:val="3"/>
          <w:position w:val="20"/>
          <w:sz w:val="32"/>
          <w:szCs w:val="32"/>
        </w:rPr>
        <w:t>年耕地地力</w:t>
      </w:r>
    </w:p>
    <w:p>
      <w:pPr>
        <w:spacing w:before="1" w:line="217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补贴申报审核的地块，不再享受2022年菜田补贴。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6830"/>
          <w:pgMar w:top="1430" w:right="1376" w:bottom="980" w:left="1590" w:header="0" w:footer="781" w:gutter="0"/>
          <w:cols w:space="720" w:num="1"/>
        </w:sectPr>
      </w:pPr>
    </w:p>
    <w:p>
      <w:pPr>
        <w:pStyle w:val="2"/>
        <w:spacing w:line="292" w:lineRule="auto"/>
      </w:pPr>
    </w:p>
    <w:p>
      <w:pPr>
        <w:pStyle w:val="2"/>
        <w:spacing w:line="293" w:lineRule="auto"/>
      </w:pPr>
    </w:p>
    <w:p>
      <w:pPr>
        <w:pStyle w:val="2"/>
        <w:spacing w:line="293" w:lineRule="auto"/>
      </w:pPr>
    </w:p>
    <w:p>
      <w:pPr>
        <w:spacing w:before="104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三、补贴对象</w:t>
      </w:r>
    </w:p>
    <w:p>
      <w:pPr>
        <w:spacing w:before="204" w:line="221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补贴对象应同时符合以下两个条件：</w:t>
      </w:r>
    </w:p>
    <w:p>
      <w:pPr>
        <w:spacing w:before="201" w:line="584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19"/>
          <w:sz w:val="32"/>
          <w:szCs w:val="32"/>
        </w:rPr>
        <w:t>1.申报补贴的主体应为蔬菜实际生产经营者，包括农户、家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庭农场、企业、农民专业合作社、村集体经济组织等；</w:t>
      </w:r>
    </w:p>
    <w:p>
      <w:pPr>
        <w:spacing w:before="184" w:line="570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8"/>
          <w:sz w:val="32"/>
          <w:szCs w:val="32"/>
        </w:rPr>
        <w:t>2.申报补贴地块、设施或工厂化厂房的蔬菜生产情况应纳入</w:t>
      </w:r>
    </w:p>
    <w:p>
      <w:pPr>
        <w:spacing w:before="2" w:line="217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统计部门蔬菜统计范围。</w:t>
      </w:r>
    </w:p>
    <w:p>
      <w:pPr>
        <w:spacing w:before="216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四、工作要求</w:t>
      </w:r>
    </w:p>
    <w:p>
      <w:pPr>
        <w:spacing w:before="194" w:line="223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>(一)制定工作方案</w:t>
      </w:r>
    </w:p>
    <w:p>
      <w:pPr>
        <w:spacing w:before="191" w:line="331" w:lineRule="auto"/>
        <w:ind w:right="6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各村结合实际制定菜田补贴工作方案，建立健全工作机制，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严格按照补贴发放程序，细化工作时间安排，保障本村蔬菜生产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在应统尽统的基础上，做到应补尽补，稳定并有序</w:t>
      </w:r>
      <w:r>
        <w:rPr>
          <w:rFonts w:ascii="仿宋" w:hAnsi="仿宋" w:eastAsia="仿宋" w:cs="仿宋"/>
          <w:spacing w:val="-9"/>
          <w:sz w:val="32"/>
          <w:szCs w:val="32"/>
        </w:rPr>
        <w:t>提升蔬菜生产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面积。</w:t>
      </w:r>
    </w:p>
    <w:p>
      <w:pPr>
        <w:spacing w:before="210" w:line="223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(二)完成申报审核</w:t>
      </w:r>
    </w:p>
    <w:p>
      <w:pPr>
        <w:spacing w:before="189" w:line="336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菜田补贴采取线下线上相结合申报审核的方式，各村要通过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“种植业补贴信息管理系统”完成补贴申报、确认、审核等程序，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提高补贴发放的规范性、精准性和时效性。各村组织完成菜田补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贴申报审核，上报镇产业发展服务中心农业技术组，由镇农发办、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镇产业发展服务中心农业技术组共同审核把关。</w:t>
      </w:r>
    </w:p>
    <w:p>
      <w:pPr>
        <w:spacing w:before="186" w:line="227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7"/>
          <w:sz w:val="32"/>
          <w:szCs w:val="32"/>
        </w:rPr>
        <w:t>(三)按时发放补贴</w:t>
      </w:r>
    </w:p>
    <w:p>
      <w:pPr>
        <w:spacing w:before="194" w:line="569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18"/>
          <w:sz w:val="32"/>
          <w:szCs w:val="32"/>
        </w:rPr>
        <w:t>原则上通过审核后，将补贴资金及时足额发放到补贴对象的</w:t>
      </w:r>
    </w:p>
    <w:p>
      <w:pPr>
        <w:spacing w:before="1" w:line="220" w:lineRule="auto"/>
        <w:ind w:left="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“一卡(折)通”或银行账户中。完成补贴发放。</w:t>
      </w:r>
    </w:p>
    <w:p>
      <w:pPr>
        <w:spacing w:before="195" w:line="223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(四)报送工作总结</w:t>
      </w:r>
    </w:p>
    <w:p>
      <w:pPr>
        <w:spacing w:line="223" w:lineRule="auto"/>
        <w:rPr>
          <w:rFonts w:ascii="楷体" w:hAnsi="楷体" w:eastAsia="楷体" w:cs="楷体"/>
          <w:sz w:val="32"/>
          <w:szCs w:val="32"/>
        </w:rPr>
        <w:sectPr>
          <w:footerReference r:id="rId8" w:type="default"/>
          <w:pgSz w:w="11900" w:h="16830"/>
          <w:pgMar w:top="1430" w:right="1580" w:bottom="991" w:left="1470" w:header="0" w:footer="806" w:gutter="0"/>
          <w:cols w:space="720" w:num="1"/>
        </w:sectPr>
      </w:pPr>
    </w:p>
    <w:p>
      <w:pPr>
        <w:pStyle w:val="2"/>
        <w:spacing w:line="291" w:lineRule="auto"/>
      </w:pPr>
    </w:p>
    <w:p>
      <w:pPr>
        <w:pStyle w:val="2"/>
        <w:spacing w:line="291" w:lineRule="auto"/>
      </w:pPr>
    </w:p>
    <w:p>
      <w:pPr>
        <w:pStyle w:val="2"/>
        <w:spacing w:line="292" w:lineRule="auto"/>
      </w:pPr>
    </w:p>
    <w:p>
      <w:pPr>
        <w:spacing w:before="104" w:line="336" w:lineRule="auto"/>
        <w:ind w:right="24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由镇产业发展服务中心农业技术组将2022年菜田补贴实施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情况总结报送区农业服务中心，区农业服务中心汇总后报区农业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农村局、区财政局。</w:t>
      </w:r>
    </w:p>
    <w:p>
      <w:pPr>
        <w:spacing w:before="193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五、工作保障</w:t>
      </w:r>
    </w:p>
    <w:p>
      <w:pPr>
        <w:spacing w:before="190" w:line="224" w:lineRule="auto"/>
        <w:ind w:left="79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9"/>
          <w:sz w:val="32"/>
          <w:szCs w:val="32"/>
        </w:rPr>
        <w:t>(一)加强组织领导</w:t>
      </w:r>
    </w:p>
    <w:p>
      <w:pPr>
        <w:spacing w:before="200" w:line="335" w:lineRule="auto"/>
        <w:ind w:right="23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召开全镇菜田补贴工作会，镇农发办、产业发展服务中心农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业技术组指导各村开展菜田补贴工作。各村作为责任主体，要高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度重视，强化领导，建立健全工作机制，明确责任分工，切实保</w:t>
      </w:r>
    </w:p>
    <w:p>
      <w:pPr>
        <w:spacing w:before="1" w:line="217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障菜田补贴政策落实到位。</w:t>
      </w:r>
    </w:p>
    <w:p>
      <w:pPr>
        <w:spacing w:before="202" w:line="335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菜田补贴坚持公平、公正、公开的原则，对露地和设施蔬菜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生产主体申报菜田补贴，严格执行“补贴对象自愿申请、村委会  </w:t>
      </w:r>
      <w:r>
        <w:rPr>
          <w:rFonts w:ascii="仿宋" w:hAnsi="仿宋" w:eastAsia="仿宋" w:cs="仿宋"/>
          <w:spacing w:val="1"/>
          <w:sz w:val="32"/>
          <w:szCs w:val="32"/>
        </w:rPr>
        <w:t>公示确认、镇政府审核把关、区政府审核批准、市级部门备案”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的工作程序，不得减免环节、违规操作。补贴申报截止时</w:t>
      </w:r>
      <w:r>
        <w:rPr>
          <w:rFonts w:ascii="仿宋" w:hAnsi="仿宋" w:eastAsia="仿宋" w:cs="仿宋"/>
          <w:spacing w:val="-9"/>
          <w:sz w:val="32"/>
          <w:szCs w:val="32"/>
        </w:rPr>
        <w:t>，尚存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在争议的地块(设施),暂时不列入补贴范围。</w:t>
      </w:r>
    </w:p>
    <w:p>
      <w:pPr>
        <w:spacing w:before="196" w:line="336" w:lineRule="auto"/>
        <w:ind w:right="214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对工厂化蔬菜(指植物工厂蔬菜、智能连栋温室蔬菜、工厂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化食用菌、工厂化芽苗菜)生产企业主体申报菜田补贴，各村要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严格把关规范申报、审核、发放等工作程序。</w:t>
      </w:r>
    </w:p>
    <w:p>
      <w:pPr>
        <w:spacing w:before="207" w:line="223" w:lineRule="auto"/>
        <w:ind w:left="79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2"/>
          <w:sz w:val="32"/>
          <w:szCs w:val="32"/>
        </w:rPr>
        <w:t>(</w:t>
      </w:r>
      <w:r>
        <w:rPr>
          <w:rFonts w:hint="eastAsia" w:ascii="楷体" w:hAnsi="楷体" w:eastAsia="楷体" w:cs="楷体"/>
          <w:spacing w:val="12"/>
          <w:sz w:val="32"/>
          <w:szCs w:val="32"/>
          <w:lang w:val="en-US" w:eastAsia="zh-CN"/>
        </w:rPr>
        <w:t>二</w:t>
      </w:r>
      <w:r>
        <w:rPr>
          <w:rFonts w:ascii="楷体" w:hAnsi="楷体" w:eastAsia="楷体" w:cs="楷体"/>
          <w:spacing w:val="12"/>
          <w:sz w:val="32"/>
          <w:szCs w:val="32"/>
        </w:rPr>
        <w:t>)严格申报审核</w:t>
      </w:r>
    </w:p>
    <w:p>
      <w:pPr>
        <w:spacing w:before="190" w:line="331" w:lineRule="auto"/>
        <w:ind w:right="23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各村应加强菜田补贴申报数据审核，强化全过程监督。</w:t>
      </w:r>
      <w:r>
        <w:rPr>
          <w:rFonts w:ascii="仿宋" w:hAnsi="仿宋" w:eastAsia="仿宋" w:cs="仿宋"/>
          <w:spacing w:val="-9"/>
          <w:sz w:val="32"/>
          <w:szCs w:val="32"/>
        </w:rPr>
        <w:t>要对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照各村2022年蔬菜实际生产数据，严格审核补贴</w:t>
      </w:r>
      <w:r>
        <w:rPr>
          <w:rFonts w:ascii="仿宋" w:hAnsi="仿宋" w:eastAsia="仿宋" w:cs="仿宋"/>
          <w:spacing w:val="2"/>
          <w:sz w:val="32"/>
          <w:szCs w:val="32"/>
        </w:rPr>
        <w:t>申报情况，进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一步提高补贴面积覆盖率。</w:t>
      </w:r>
    </w:p>
    <w:p>
      <w:pPr>
        <w:spacing w:before="212" w:line="223" w:lineRule="auto"/>
        <w:ind w:left="79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2"/>
          <w:sz w:val="32"/>
          <w:szCs w:val="32"/>
        </w:rPr>
        <w:t>(</w:t>
      </w:r>
      <w:r>
        <w:rPr>
          <w:rFonts w:hint="eastAsia" w:ascii="楷体" w:hAnsi="楷体" w:eastAsia="楷体" w:cs="楷体"/>
          <w:spacing w:val="12"/>
          <w:sz w:val="32"/>
          <w:szCs w:val="32"/>
          <w:lang w:val="en-US" w:eastAsia="zh-CN"/>
        </w:rPr>
        <w:t>三</w:t>
      </w:r>
      <w:r>
        <w:rPr>
          <w:rFonts w:ascii="楷体" w:hAnsi="楷体" w:eastAsia="楷体" w:cs="楷体"/>
          <w:spacing w:val="12"/>
          <w:sz w:val="32"/>
          <w:szCs w:val="32"/>
        </w:rPr>
        <w:t>)严格资金管理</w:t>
      </w:r>
    </w:p>
    <w:p>
      <w:pPr>
        <w:spacing w:line="223" w:lineRule="auto"/>
        <w:rPr>
          <w:rFonts w:ascii="楷体" w:hAnsi="楷体" w:eastAsia="楷体" w:cs="楷体"/>
          <w:sz w:val="32"/>
          <w:szCs w:val="32"/>
        </w:rPr>
        <w:sectPr>
          <w:footerReference r:id="rId9" w:type="default"/>
          <w:pgSz w:w="11900" w:h="16830"/>
          <w:pgMar w:top="1430" w:right="1299" w:bottom="1007" w:left="1609" w:header="0" w:footer="799" w:gutter="0"/>
          <w:cols w:space="720" w:num="1"/>
        </w:sectPr>
      </w:pPr>
    </w:p>
    <w:p>
      <w:pPr>
        <w:pStyle w:val="2"/>
        <w:spacing w:line="300" w:lineRule="auto"/>
      </w:pPr>
    </w:p>
    <w:p>
      <w:pPr>
        <w:pStyle w:val="2"/>
        <w:spacing w:line="300" w:lineRule="auto"/>
      </w:pPr>
    </w:p>
    <w:p>
      <w:pPr>
        <w:pStyle w:val="2"/>
        <w:spacing w:line="300" w:lineRule="auto"/>
      </w:pPr>
    </w:p>
    <w:p>
      <w:pPr>
        <w:spacing w:before="101" w:line="346" w:lineRule="auto"/>
        <w:ind w:right="20" w:firstLine="6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补贴资金直接发放到补贴对象的“一卡(折)通”或银行账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户中，严禁现金发放。坚决杜绝贪污、挤占、挪用</w:t>
      </w:r>
      <w:r>
        <w:rPr>
          <w:rFonts w:ascii="仿宋" w:hAnsi="仿宋" w:eastAsia="仿宋" w:cs="仿宋"/>
          <w:spacing w:val="1"/>
          <w:sz w:val="31"/>
          <w:szCs w:val="31"/>
        </w:rPr>
        <w:t>补贴资金的行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为。对虚报冒领等违法违规行为，依照《财政违法行为处罚处分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条例》等有关规定追究相应责任。构成犯罪的，依法移交司法机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关追究其刑事责任。</w:t>
      </w:r>
    </w:p>
    <w:p>
      <w:pPr>
        <w:spacing w:before="202" w:line="227" w:lineRule="auto"/>
        <w:ind w:left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0"/>
          <w:sz w:val="31"/>
          <w:szCs w:val="31"/>
        </w:rPr>
        <w:t>(</w:t>
      </w:r>
      <w:r>
        <w:rPr>
          <w:rFonts w:hint="eastAsia" w:ascii="楷体" w:hAnsi="楷体" w:eastAsia="楷体" w:cs="楷体"/>
          <w:b/>
          <w:bCs/>
          <w:spacing w:val="20"/>
          <w:sz w:val="31"/>
          <w:szCs w:val="31"/>
          <w:lang w:val="en-US" w:eastAsia="zh-CN"/>
        </w:rPr>
        <w:t>四</w:t>
      </w:r>
      <w:r>
        <w:rPr>
          <w:rFonts w:ascii="楷体" w:hAnsi="楷体" w:eastAsia="楷体" w:cs="楷体"/>
          <w:b/>
          <w:bCs/>
          <w:spacing w:val="20"/>
          <w:sz w:val="31"/>
          <w:szCs w:val="31"/>
        </w:rPr>
        <w:t>)加强监督检查</w:t>
      </w:r>
    </w:p>
    <w:p>
      <w:pPr>
        <w:spacing w:before="193" w:line="347" w:lineRule="auto"/>
        <w:ind w:right="3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镇农发办、镇产业发展服务中心农业技术组对各村菜田补贴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政策实施情况进行督导。各村应加强日常监督</w:t>
      </w:r>
      <w:r>
        <w:rPr>
          <w:rFonts w:ascii="仿宋" w:hAnsi="仿宋" w:eastAsia="仿宋" w:cs="仿宋"/>
          <w:spacing w:val="1"/>
          <w:sz w:val="31"/>
          <w:szCs w:val="31"/>
        </w:rPr>
        <w:t>管理，建立自查机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制，及时纠正补贴政策实施过程中出现的问题。</w:t>
      </w:r>
    </w:p>
    <w:p>
      <w:pPr>
        <w:spacing w:before="204" w:line="224" w:lineRule="auto"/>
        <w:ind w:left="7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</w:t>
      </w:r>
      <w:r>
        <w:rPr>
          <w:rFonts w:hint="eastAsia" w:ascii="楷体" w:hAnsi="楷体" w:eastAsia="楷体" w:cs="楷体"/>
          <w:spacing w:val="26"/>
          <w:sz w:val="31"/>
          <w:szCs w:val="31"/>
          <w:lang w:val="en-US" w:eastAsia="zh-CN"/>
        </w:rPr>
        <w:t>五</w:t>
      </w:r>
      <w:bookmarkStart w:id="0" w:name="_GoBack"/>
      <w:bookmarkEnd w:id="0"/>
      <w:r>
        <w:rPr>
          <w:rFonts w:ascii="楷体" w:hAnsi="楷体" w:eastAsia="楷体" w:cs="楷体"/>
          <w:spacing w:val="26"/>
          <w:sz w:val="31"/>
          <w:szCs w:val="31"/>
        </w:rPr>
        <w:t>)加大政策宣传</w:t>
      </w:r>
    </w:p>
    <w:p>
      <w:pPr>
        <w:spacing w:before="193" w:line="346" w:lineRule="auto"/>
        <w:ind w:right="1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各村应利用各种媒体加大对菜田补贴政策的宣传和普及力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度，做好对农户、家庭农场、企业、农民专业合作社、村集体经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济组织等广大生产经营主体，以及基层干部的政策解读工作，公</w:t>
      </w:r>
    </w:p>
    <w:p>
      <w:pPr>
        <w:spacing w:before="1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开补贴发放结果，主动接受广大群众、媒体和社会各界的监督。</w:t>
      </w:r>
    </w:p>
    <w:p>
      <w:pPr>
        <w:spacing w:before="217" w:line="221" w:lineRule="auto"/>
        <w:ind w:left="7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9"/>
          <w:sz w:val="31"/>
          <w:szCs w:val="31"/>
        </w:rPr>
        <w:t>(六)方案施行</w:t>
      </w:r>
    </w:p>
    <w:p>
      <w:pPr>
        <w:spacing w:before="212" w:line="585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position w:val="20"/>
          <w:sz w:val="31"/>
          <w:szCs w:val="31"/>
        </w:rPr>
        <w:t>本方案自印发之日起施行，执行期限至2023年12月31日</w:t>
      </w:r>
    </w:p>
    <w:p>
      <w:pPr>
        <w:spacing w:line="23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止。</w:t>
      </w:r>
    </w:p>
    <w:p>
      <w:pPr>
        <w:spacing w:line="23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30"/>
          <w:pgMar w:top="1430" w:right="1685" w:bottom="1005" w:left="1420" w:header="0" w:footer="799" w:gutter="0"/>
          <w:cols w:space="720" w:num="1"/>
        </w:sectPr>
      </w:pPr>
    </w:p>
    <w:p>
      <w:pPr>
        <w:pStyle w:val="2"/>
        <w:spacing w:line="24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1015365</wp:posOffset>
            </wp:positionH>
            <wp:positionV relativeFrom="page">
              <wp:posOffset>9163050</wp:posOffset>
            </wp:positionV>
            <wp:extent cx="55816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168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1021715</wp:posOffset>
            </wp:positionH>
            <wp:positionV relativeFrom="page">
              <wp:posOffset>9537065</wp:posOffset>
            </wp:positionV>
            <wp:extent cx="55880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8031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before="85" w:line="221" w:lineRule="auto"/>
        <w:ind w:right="29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sz w:val="26"/>
          <w:szCs w:val="26"/>
        </w:rPr>
        <w:t>北京市大兴区青云店镇人民政府综合保障办公室</w:t>
      </w:r>
      <w:r>
        <w:rPr>
          <w:rFonts w:ascii="仿宋" w:hAnsi="仿宋" w:eastAsia="仿宋" w:cs="仿宋"/>
          <w:spacing w:val="58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9"/>
          <w:sz w:val="26"/>
          <w:szCs w:val="26"/>
        </w:rPr>
        <w:t>2023年10月19</w:t>
      </w:r>
      <w:r>
        <w:rPr>
          <w:rFonts w:ascii="仿宋" w:hAnsi="仿宋" w:eastAsia="仿宋" w:cs="仿宋"/>
          <w:spacing w:val="8"/>
          <w:sz w:val="26"/>
          <w:szCs w:val="26"/>
        </w:rPr>
        <w:t>日印发</w:t>
      </w:r>
    </w:p>
    <w:sectPr>
      <w:footerReference r:id="rId11" w:type="default"/>
      <w:pgSz w:w="11900" w:h="16830"/>
      <w:pgMar w:top="1430" w:right="1489" w:bottom="970" w:left="1599" w:header="0" w:footer="7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847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59"/>
        <w:sz w:val="21"/>
        <w:szCs w:val="21"/>
      </w:rPr>
      <w:t>—</w:t>
    </w:r>
    <w:r>
      <w:rPr>
        <w:rFonts w:ascii="宋体" w:hAnsi="宋体" w:eastAsia="宋体" w:cs="宋体"/>
        <w:spacing w:val="-22"/>
        <w:sz w:val="21"/>
        <w:szCs w:val="21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w w:val="60"/>
        <w:sz w:val="20"/>
        <w:szCs w:val="20"/>
      </w:rPr>
      <w:t>—</w:t>
    </w:r>
    <w:r>
      <w:rPr>
        <w:rFonts w:ascii="宋体" w:hAnsi="宋体" w:eastAsia="宋体" w:cs="宋体"/>
        <w:spacing w:val="-14"/>
        <w:w w:val="95"/>
        <w:sz w:val="20"/>
        <w:szCs w:val="20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right="5"/>
      <w:jc w:val="right"/>
      <w:rPr>
        <w:rFonts w:ascii="仿宋" w:hAnsi="仿宋" w:eastAsia="仿宋" w:cs="仿宋"/>
        <w:sz w:val="19"/>
        <w:szCs w:val="19"/>
      </w:rPr>
    </w:pPr>
    <w:r>
      <w:rPr>
        <w:rFonts w:ascii="仿宋" w:hAnsi="仿宋" w:eastAsia="仿宋" w:cs="仿宋"/>
        <w:spacing w:val="-6"/>
        <w:w w:val="63"/>
        <w:sz w:val="19"/>
        <w:szCs w:val="19"/>
      </w:rPr>
      <w:t>—</w:t>
    </w:r>
    <w:r>
      <w:rPr>
        <w:rFonts w:ascii="仿宋" w:hAnsi="仿宋" w:eastAsia="仿宋" w:cs="仿宋"/>
        <w:spacing w:val="-17"/>
        <w:w w:val="97"/>
        <w:sz w:val="19"/>
        <w:szCs w:val="19"/>
      </w:rPr>
      <w:t>3</w:t>
    </w:r>
    <w:r>
      <w:rPr>
        <w:rFonts w:ascii="仿宋" w:hAnsi="仿宋" w:eastAsia="仿宋" w:cs="仿宋"/>
        <w:spacing w:val="-11"/>
        <w:w w:val="97"/>
        <w:sz w:val="19"/>
        <w:szCs w:val="1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61"/>
        <w:sz w:val="21"/>
        <w:szCs w:val="21"/>
      </w:rPr>
      <w:t>—</w:t>
    </w:r>
    <w:r>
      <w:rPr>
        <w:rFonts w:ascii="宋体" w:hAnsi="宋体" w:eastAsia="宋体" w:cs="宋体"/>
        <w:spacing w:val="-12"/>
        <w:w w:val="94"/>
        <w:sz w:val="21"/>
        <w:szCs w:val="21"/>
      </w:rPr>
      <w:t>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2" w:lineRule="auto"/>
      <w:jc w:val="right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11"/>
        <w:w w:val="59"/>
        <w:sz w:val="21"/>
        <w:szCs w:val="21"/>
      </w:rPr>
      <w:t>—</w:t>
    </w:r>
    <w:r>
      <w:rPr>
        <w:rFonts w:ascii="宋体" w:hAnsi="宋体" w:eastAsia="宋体" w:cs="宋体"/>
        <w:spacing w:val="-10"/>
        <w:w w:val="59"/>
        <w:sz w:val="21"/>
        <w:szCs w:val="21"/>
      </w:rPr>
      <w:t>5</w:t>
    </w:r>
    <w:r>
      <w:rPr>
        <w:rFonts w:ascii="宋体" w:hAnsi="宋体" w:eastAsia="宋体" w:cs="宋体"/>
        <w:spacing w:val="-6"/>
        <w:w w:val="59"/>
        <w:sz w:val="21"/>
        <w:szCs w:val="2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1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w w:val="60"/>
        <w:sz w:val="20"/>
        <w:szCs w:val="20"/>
      </w:rPr>
      <w:t>—</w:t>
    </w:r>
    <w:r>
      <w:rPr>
        <w:rFonts w:ascii="宋体" w:hAnsi="宋体" w:eastAsia="宋体" w:cs="宋体"/>
        <w:spacing w:val="-14"/>
        <w:w w:val="95"/>
        <w:sz w:val="20"/>
        <w:szCs w:val="20"/>
      </w:rPr>
      <w:t>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FmODEzMjhjYzAyOGQ2M2M1OWQ1ODAyZTg4N2UwN2UifQ=="/>
  </w:docVars>
  <w:rsids>
    <w:rsidRoot w:val="00000000"/>
    <w:rsid w:val="1F2649DB"/>
    <w:rsid w:val="3D824EE5"/>
    <w:rsid w:val="41EE5D20"/>
    <w:rsid w:val="728D2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4.png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2023-10-31T14:12:00Z</dcterms:created>
  <dc:creator>Kingsoft-PDF</dc:creator>
  <cp:lastModifiedBy>米露露</cp:lastModifiedBy>
  <dcterms:modified xsi:type="dcterms:W3CDTF">2023-11-27T09:00:10Z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2023-10-31T14:12:09Z</vt:filetime>
  </property>
  <property fmtid="{D5CDD505-2E9C-101B-9397-08002B2CF9AE}" pid="4" name="UsrData">
    <vt:lpwstr>65409ab52d86f5001ff4969bwl</vt:lpwstr>
  </property>
  <property fmtid="{D5CDD505-2E9C-101B-9397-08002B2CF9AE}" pid="5" name="KSOProductBuildVer">
    <vt:lpwstr>2052-12.1.0.15712</vt:lpwstr>
  </property>
  <property fmtid="{D5CDD505-2E9C-101B-9397-08002B2CF9AE}" pid="6" name="ICV">
    <vt:lpwstr>1581D4F4B3E34AF69C83BD72D3ED3797_13</vt:lpwstr>
  </property>
</Properties>
</file>