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1DEF">
      <w:pPr>
        <w:spacing w:line="258" w:lineRule="auto"/>
        <w:rPr>
          <w:rFonts w:ascii="Arial"/>
          <w:sz w:val="21"/>
        </w:rPr>
      </w:pPr>
    </w:p>
    <w:p w14:paraId="4B229E54">
      <w:pPr>
        <w:spacing w:line="258" w:lineRule="auto"/>
        <w:rPr>
          <w:rFonts w:ascii="Arial"/>
          <w:sz w:val="21"/>
        </w:rPr>
      </w:pPr>
    </w:p>
    <w:p w14:paraId="606D87C5">
      <w:pPr>
        <w:spacing w:line="258" w:lineRule="auto"/>
        <w:rPr>
          <w:rFonts w:ascii="Arial"/>
          <w:sz w:val="21"/>
        </w:rPr>
      </w:pPr>
    </w:p>
    <w:p w14:paraId="07122DB8">
      <w:pPr>
        <w:spacing w:line="259" w:lineRule="auto"/>
        <w:rPr>
          <w:rFonts w:ascii="Arial"/>
          <w:sz w:val="21"/>
        </w:rPr>
      </w:pPr>
    </w:p>
    <w:p w14:paraId="59CC929E">
      <w:pPr>
        <w:spacing w:line="259" w:lineRule="auto"/>
        <w:rPr>
          <w:rFonts w:ascii="Arial"/>
          <w:sz w:val="21"/>
        </w:rPr>
      </w:pPr>
    </w:p>
    <w:p w14:paraId="66080CDB">
      <w:pPr>
        <w:spacing w:line="259" w:lineRule="auto"/>
        <w:rPr>
          <w:rFonts w:ascii="Arial"/>
          <w:sz w:val="21"/>
        </w:rPr>
      </w:pPr>
    </w:p>
    <w:p w14:paraId="7D60EE88">
      <w:pPr>
        <w:spacing w:before="408" w:line="185" w:lineRule="auto"/>
        <w:ind w:left="491"/>
        <w:outlineLvl w:val="0"/>
        <w:rPr>
          <w:rFonts w:ascii="微软雅黑" w:hAnsi="微软雅黑" w:eastAsia="微软雅黑" w:cs="微软雅黑"/>
          <w:sz w:val="95"/>
          <w:szCs w:val="95"/>
        </w:rPr>
      </w:pPr>
      <w:r>
        <w:rPr>
          <w:rFonts w:ascii="微软雅黑" w:hAnsi="微软雅黑" w:eastAsia="微软雅黑" w:cs="微软雅黑"/>
          <w:color w:val="FF0000"/>
          <w:spacing w:val="-26"/>
          <w:w w:val="75"/>
          <w:sz w:val="95"/>
          <w:szCs w:val="95"/>
        </w:rPr>
        <w:t>北京市大兴区人民政府文件</w:t>
      </w:r>
    </w:p>
    <w:p w14:paraId="6265BA0A">
      <w:pPr>
        <w:spacing w:line="282" w:lineRule="auto"/>
        <w:rPr>
          <w:rFonts w:ascii="Arial"/>
          <w:sz w:val="21"/>
        </w:rPr>
      </w:pPr>
    </w:p>
    <w:p w14:paraId="2D1200E3">
      <w:pPr>
        <w:spacing w:line="282" w:lineRule="auto"/>
        <w:rPr>
          <w:rFonts w:ascii="Arial"/>
          <w:sz w:val="21"/>
        </w:rPr>
      </w:pPr>
    </w:p>
    <w:p w14:paraId="335B250E">
      <w:pPr>
        <w:spacing w:line="282" w:lineRule="auto"/>
        <w:rPr>
          <w:rFonts w:ascii="Arial"/>
          <w:sz w:val="21"/>
        </w:rPr>
      </w:pPr>
    </w:p>
    <w:p w14:paraId="00015BA1">
      <w:pPr>
        <w:spacing w:line="283" w:lineRule="auto"/>
        <w:rPr>
          <w:rFonts w:ascii="Arial"/>
          <w:sz w:val="21"/>
        </w:rPr>
      </w:pPr>
    </w:p>
    <w:p w14:paraId="682B921C">
      <w:pPr>
        <w:pStyle w:val="2"/>
        <w:spacing w:before="101" w:line="223" w:lineRule="auto"/>
        <w:ind w:left="2878"/>
      </w:pPr>
      <w:r>
        <w:rPr>
          <w:spacing w:val="4"/>
        </w:rPr>
        <w:t>京兴政发〔2024〕15</w:t>
      </w:r>
      <w:r>
        <w:rPr>
          <w:spacing w:val="-39"/>
        </w:rPr>
        <w:t xml:space="preserve"> </w:t>
      </w:r>
      <w:r>
        <w:rPr>
          <w:spacing w:val="4"/>
        </w:rPr>
        <w:t>号</w:t>
      </w:r>
    </w:p>
    <w:p w14:paraId="696844C3">
      <w:pPr>
        <w:spacing w:before="47" w:line="28" w:lineRule="exact"/>
      </w:pPr>
      <w:r>
        <w:drawing>
          <wp:inline distT="0" distB="0" distL="0" distR="0">
            <wp:extent cx="5647690" cy="177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48232" cy="1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99731">
      <w:pPr>
        <w:spacing w:line="255" w:lineRule="auto"/>
        <w:rPr>
          <w:rFonts w:ascii="Arial"/>
          <w:sz w:val="21"/>
        </w:rPr>
      </w:pPr>
    </w:p>
    <w:p w14:paraId="58565F96">
      <w:pPr>
        <w:spacing w:line="255" w:lineRule="auto"/>
        <w:rPr>
          <w:rFonts w:ascii="Arial"/>
          <w:sz w:val="21"/>
        </w:rPr>
      </w:pPr>
    </w:p>
    <w:p w14:paraId="0ADE3476">
      <w:pPr>
        <w:spacing w:line="255" w:lineRule="auto"/>
        <w:rPr>
          <w:rFonts w:ascii="Arial"/>
          <w:sz w:val="21"/>
        </w:rPr>
      </w:pPr>
    </w:p>
    <w:p w14:paraId="0BD8344C">
      <w:pPr>
        <w:spacing w:line="255" w:lineRule="auto"/>
        <w:rPr>
          <w:rFonts w:ascii="Arial"/>
          <w:sz w:val="21"/>
        </w:rPr>
      </w:pPr>
    </w:p>
    <w:p w14:paraId="2907DEDB">
      <w:pPr>
        <w:spacing w:before="185" w:line="180" w:lineRule="auto"/>
        <w:ind w:left="229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北京市大兴区人民政府</w:t>
      </w:r>
    </w:p>
    <w:p w14:paraId="4C507A81">
      <w:pPr>
        <w:spacing w:line="184" w:lineRule="auto"/>
        <w:ind w:left="119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关于印发《北京市大兴区政府投资</w:t>
      </w:r>
    </w:p>
    <w:p w14:paraId="1D39E00C">
      <w:pPr>
        <w:spacing w:line="188" w:lineRule="auto"/>
        <w:ind w:left="274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管理办法》的通知</w:t>
      </w:r>
    </w:p>
    <w:p w14:paraId="67FCECBA">
      <w:pPr>
        <w:spacing w:line="271" w:lineRule="auto"/>
        <w:rPr>
          <w:rFonts w:ascii="Arial"/>
          <w:sz w:val="21"/>
        </w:rPr>
      </w:pPr>
    </w:p>
    <w:p w14:paraId="10EF1E16">
      <w:pPr>
        <w:spacing w:line="271" w:lineRule="auto"/>
        <w:rPr>
          <w:rFonts w:ascii="Arial"/>
          <w:sz w:val="21"/>
        </w:rPr>
      </w:pPr>
    </w:p>
    <w:p w14:paraId="58FF929B">
      <w:pPr>
        <w:pStyle w:val="2"/>
        <w:spacing w:before="101" w:line="222" w:lineRule="auto"/>
        <w:jc w:val="right"/>
      </w:pPr>
      <w:r>
        <w:rPr>
          <w:spacing w:val="-19"/>
        </w:rPr>
        <w:t>各镇人民政府，区政府各委、办、局（公司）、中心，各街道办事处：</w:t>
      </w:r>
    </w:p>
    <w:p w14:paraId="1E295D4A">
      <w:pPr>
        <w:pStyle w:val="2"/>
        <w:spacing w:before="186" w:line="323" w:lineRule="auto"/>
        <w:ind w:left="39" w:right="80" w:firstLine="619"/>
        <w:jc w:val="both"/>
      </w:pPr>
      <w:r>
        <w:rPr>
          <w:spacing w:val="-2"/>
        </w:rPr>
        <w:t>《北京市大兴区政府投资管理办法》</w:t>
      </w:r>
      <w:r>
        <w:rPr>
          <w:spacing w:val="-76"/>
        </w:rPr>
        <w:t xml:space="preserve"> </w:t>
      </w:r>
      <w:r>
        <w:rPr>
          <w:spacing w:val="-2"/>
        </w:rPr>
        <w:t>已经</w:t>
      </w:r>
      <w:r>
        <w:rPr>
          <w:spacing w:val="-48"/>
        </w:rPr>
        <w:t xml:space="preserve"> </w:t>
      </w:r>
      <w:r>
        <w:rPr>
          <w:spacing w:val="-2"/>
        </w:rPr>
        <w:t>2024</w:t>
      </w:r>
      <w:r>
        <w:rPr>
          <w:spacing w:val="-56"/>
        </w:rPr>
        <w:t xml:space="preserve"> </w:t>
      </w:r>
      <w:r>
        <w:rPr>
          <w:spacing w:val="-2"/>
        </w:rPr>
        <w:t>年</w:t>
      </w:r>
      <w:r>
        <w:rPr>
          <w:spacing w:val="-46"/>
        </w:rPr>
        <w:t xml:space="preserve"> </w:t>
      </w:r>
      <w:r>
        <w:rPr>
          <w:spacing w:val="-2"/>
        </w:rPr>
        <w:t>9</w:t>
      </w:r>
      <w:r>
        <w:rPr>
          <w:spacing w:val="-46"/>
        </w:rPr>
        <w:t xml:space="preserve"> </w:t>
      </w:r>
      <w:r>
        <w:rPr>
          <w:spacing w:val="-2"/>
        </w:rPr>
        <w:t>月</w:t>
      </w:r>
      <w:r>
        <w:rPr>
          <w:spacing w:val="-40"/>
        </w:rPr>
        <w:t xml:space="preserve"> </w:t>
      </w:r>
      <w:r>
        <w:rPr>
          <w:spacing w:val="-2"/>
        </w:rPr>
        <w:t>11 日</w:t>
      </w:r>
      <w:r>
        <w:t xml:space="preserve"> </w:t>
      </w:r>
      <w:r>
        <w:rPr>
          <w:spacing w:val="6"/>
        </w:rPr>
        <w:t>六届区委常委会第</w:t>
      </w:r>
      <w:r>
        <w:rPr>
          <w:spacing w:val="-25"/>
        </w:rPr>
        <w:t xml:space="preserve"> </w:t>
      </w:r>
      <w:r>
        <w:rPr>
          <w:spacing w:val="6"/>
        </w:rPr>
        <w:t>101</w:t>
      </w:r>
      <w:r>
        <w:rPr>
          <w:spacing w:val="-53"/>
        </w:rPr>
        <w:t xml:space="preserve"> </w:t>
      </w:r>
      <w:r>
        <w:rPr>
          <w:spacing w:val="6"/>
        </w:rPr>
        <w:t>次会议审议通过，现印发给你们，请结合</w:t>
      </w:r>
      <w:r>
        <w:t xml:space="preserve"> </w:t>
      </w:r>
      <w:r>
        <w:rPr>
          <w:spacing w:val="2"/>
        </w:rPr>
        <w:t>实际，认真贯彻执行。</w:t>
      </w:r>
    </w:p>
    <w:p w14:paraId="15B472FA">
      <w:pPr>
        <w:spacing w:line="270" w:lineRule="auto"/>
        <w:rPr>
          <w:rFonts w:ascii="Arial"/>
          <w:sz w:val="21"/>
        </w:rPr>
      </w:pPr>
    </w:p>
    <w:p w14:paraId="05F71DEA">
      <w:pPr>
        <w:spacing w:line="270" w:lineRule="auto"/>
        <w:rPr>
          <w:rFonts w:ascii="Arial"/>
          <w:sz w:val="21"/>
        </w:rPr>
      </w:pPr>
    </w:p>
    <w:p w14:paraId="6ED2DAAE">
      <w:pPr>
        <w:spacing w:line="271" w:lineRule="auto"/>
        <w:rPr>
          <w:rFonts w:ascii="Arial"/>
          <w:sz w:val="21"/>
        </w:rPr>
      </w:pPr>
    </w:p>
    <w:p w14:paraId="2DD0147C">
      <w:pPr>
        <w:spacing w:line="271" w:lineRule="auto"/>
        <w:rPr>
          <w:rFonts w:ascii="Arial"/>
          <w:sz w:val="21"/>
        </w:rPr>
      </w:pPr>
    </w:p>
    <w:p w14:paraId="53833EE9">
      <w:pPr>
        <w:spacing w:line="271" w:lineRule="auto"/>
        <w:rPr>
          <w:rFonts w:ascii="Arial"/>
          <w:sz w:val="21"/>
        </w:rPr>
      </w:pPr>
    </w:p>
    <w:p w14:paraId="16B87554">
      <w:pPr>
        <w:spacing w:line="271" w:lineRule="auto"/>
        <w:rPr>
          <w:rFonts w:ascii="Arial"/>
          <w:sz w:val="21"/>
        </w:rPr>
      </w:pPr>
    </w:p>
    <w:p w14:paraId="1BF2E318">
      <w:pPr>
        <w:pStyle w:val="2"/>
        <w:spacing w:before="101" w:line="318" w:lineRule="auto"/>
        <w:ind w:left="5198" w:right="1041" w:hanging="366"/>
      </w:pPr>
      <w:r>
        <w:rPr>
          <w:spacing w:val="7"/>
        </w:rPr>
        <w:t>北京市大兴区人民政府</w:t>
      </w:r>
      <w:r>
        <w:rPr>
          <w:spacing w:val="8"/>
        </w:rPr>
        <w:t xml:space="preserve"> </w:t>
      </w:r>
      <w:r>
        <w:rPr>
          <w:spacing w:val="-8"/>
        </w:rPr>
        <w:t>2024</w:t>
      </w:r>
      <w:r>
        <w:rPr>
          <w:spacing w:val="-51"/>
        </w:rPr>
        <w:t xml:space="preserve"> </w:t>
      </w:r>
      <w:r>
        <w:rPr>
          <w:spacing w:val="-8"/>
        </w:rPr>
        <w:t>年</w:t>
      </w:r>
      <w:r>
        <w:rPr>
          <w:spacing w:val="-49"/>
        </w:rPr>
        <w:t xml:space="preserve"> </w:t>
      </w:r>
      <w:r>
        <w:rPr>
          <w:spacing w:val="-8"/>
        </w:rPr>
        <w:t>9</w:t>
      </w:r>
      <w:r>
        <w:rPr>
          <w:spacing w:val="-45"/>
        </w:rPr>
        <w:t xml:space="preserve"> </w:t>
      </w:r>
      <w:r>
        <w:rPr>
          <w:spacing w:val="-8"/>
        </w:rPr>
        <w:t>月</w:t>
      </w:r>
      <w:r>
        <w:rPr>
          <w:spacing w:val="-41"/>
        </w:rPr>
        <w:t xml:space="preserve"> </w:t>
      </w:r>
      <w:r>
        <w:rPr>
          <w:spacing w:val="-8"/>
        </w:rPr>
        <w:t>13 日</w:t>
      </w:r>
    </w:p>
    <w:p w14:paraId="3E1D377F">
      <w:pPr>
        <w:pStyle w:val="2"/>
        <w:spacing w:before="51" w:line="220" w:lineRule="auto"/>
        <w:ind w:left="658"/>
      </w:pPr>
      <w:r>
        <w:rPr>
          <w:spacing w:val="8"/>
        </w:rPr>
        <w:t>（此件公开发布）</w:t>
      </w:r>
    </w:p>
    <w:p w14:paraId="75613A46">
      <w:pPr>
        <w:spacing w:line="220" w:lineRule="auto"/>
        <w:sectPr>
          <w:headerReference r:id="rId5" w:type="default"/>
          <w:footerReference r:id="rId6" w:type="default"/>
          <w:pgSz w:w="11906" w:h="16838"/>
          <w:pgMar w:top="1431" w:right="1392" w:bottom="1143" w:left="1459" w:header="0" w:footer="863" w:gutter="0"/>
          <w:cols w:space="720" w:num="1"/>
        </w:sectPr>
      </w:pPr>
    </w:p>
    <w:p w14:paraId="1FA1D20B">
      <w:pPr>
        <w:spacing w:line="447" w:lineRule="auto"/>
        <w:rPr>
          <w:rFonts w:ascii="Arial"/>
          <w:sz w:val="21"/>
        </w:rPr>
      </w:pPr>
    </w:p>
    <w:p w14:paraId="669D9607">
      <w:pPr>
        <w:spacing w:before="185" w:line="212" w:lineRule="auto"/>
        <w:ind w:left="139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北京市大兴区政府投资管理办法</w:t>
      </w:r>
    </w:p>
    <w:p w14:paraId="742664B2">
      <w:pPr>
        <w:spacing w:line="473" w:lineRule="auto"/>
        <w:rPr>
          <w:rFonts w:ascii="Arial"/>
          <w:sz w:val="21"/>
        </w:rPr>
      </w:pPr>
    </w:p>
    <w:p w14:paraId="3CDE518E">
      <w:pPr>
        <w:spacing w:before="101" w:line="227" w:lineRule="auto"/>
        <w:ind w:left="33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第一章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总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则</w:t>
      </w:r>
    </w:p>
    <w:p w14:paraId="19DFAAC8">
      <w:pPr>
        <w:pStyle w:val="2"/>
        <w:spacing w:before="174" w:line="326" w:lineRule="auto"/>
        <w:ind w:left="11" w:firstLine="634"/>
        <w:jc w:val="both"/>
      </w:pPr>
      <w:r>
        <w:rPr>
          <w:rFonts w:ascii="黑体" w:hAnsi="黑体" w:eastAsia="黑体" w:cs="黑体"/>
          <w:spacing w:val="9"/>
        </w:rPr>
        <w:t xml:space="preserve">第一条  </w:t>
      </w:r>
      <w:r>
        <w:rPr>
          <w:spacing w:val="9"/>
        </w:rPr>
        <w:t>为充分发挥政府投资作用，提高政府投资效益，规</w:t>
      </w:r>
      <w:r>
        <w:t xml:space="preserve">  </w:t>
      </w:r>
      <w:r>
        <w:rPr>
          <w:spacing w:val="-5"/>
        </w:rPr>
        <w:t>范政府投资行为，激发社会投资活力，根据《政府投资条例》（</w:t>
      </w:r>
      <w:r>
        <w:rPr>
          <w:spacing w:val="-64"/>
        </w:rPr>
        <w:t xml:space="preserve"> </w:t>
      </w:r>
      <w:r>
        <w:rPr>
          <w:spacing w:val="-5"/>
        </w:rPr>
        <w:t>国</w:t>
      </w:r>
      <w:r>
        <w:t xml:space="preserve">  </w:t>
      </w:r>
      <w:r>
        <w:rPr>
          <w:spacing w:val="-8"/>
        </w:rPr>
        <w:t>务院令第</w:t>
      </w:r>
      <w:r>
        <w:rPr>
          <w:spacing w:val="-46"/>
        </w:rPr>
        <w:t xml:space="preserve"> </w:t>
      </w:r>
      <w:r>
        <w:rPr>
          <w:spacing w:val="-8"/>
        </w:rPr>
        <w:t>712</w:t>
      </w:r>
      <w:r>
        <w:rPr>
          <w:spacing w:val="-49"/>
        </w:rPr>
        <w:t xml:space="preserve"> </w:t>
      </w:r>
      <w:r>
        <w:rPr>
          <w:spacing w:val="-8"/>
        </w:rPr>
        <w:t>号）、《北京市政府投资管理办法》（京政发〔</w:t>
      </w:r>
      <w:r>
        <w:rPr>
          <w:spacing w:val="-9"/>
        </w:rPr>
        <w:t>2023〕</w:t>
      </w:r>
      <w:r>
        <w:t xml:space="preserve"> </w:t>
      </w:r>
      <w:r>
        <w:rPr>
          <w:spacing w:val="5"/>
        </w:rPr>
        <w:t>1</w:t>
      </w:r>
      <w:r>
        <w:rPr>
          <w:spacing w:val="-48"/>
        </w:rPr>
        <w:t xml:space="preserve"> </w:t>
      </w:r>
      <w:r>
        <w:rPr>
          <w:spacing w:val="5"/>
        </w:rPr>
        <w:t>号）和其他有关法律、行政法规，结合本区实际，制定本办</w:t>
      </w:r>
      <w:r>
        <w:rPr>
          <w:spacing w:val="4"/>
        </w:rPr>
        <w:t>法。</w:t>
      </w:r>
    </w:p>
    <w:p w14:paraId="0F7225F4">
      <w:pPr>
        <w:pStyle w:val="2"/>
        <w:spacing w:before="51" w:line="324" w:lineRule="auto"/>
        <w:ind w:left="7" w:right="152" w:firstLine="638"/>
        <w:jc w:val="both"/>
      </w:pPr>
      <w:r>
        <w:rPr>
          <w:rFonts w:ascii="黑体" w:hAnsi="黑体" w:eastAsia="黑体" w:cs="黑体"/>
          <w:spacing w:val="9"/>
        </w:rPr>
        <w:t xml:space="preserve">第二条  </w:t>
      </w:r>
      <w:r>
        <w:rPr>
          <w:spacing w:val="9"/>
        </w:rPr>
        <w:t>本办法所称政府投资，是指使用区级预算安排</w:t>
      </w:r>
      <w:r>
        <w:rPr>
          <w:spacing w:val="8"/>
        </w:rPr>
        <w:t>的资</w:t>
      </w:r>
      <w:r>
        <w:t xml:space="preserve"> </w:t>
      </w:r>
      <w:r>
        <w:rPr>
          <w:spacing w:val="9"/>
        </w:rPr>
        <w:t>金进行固定资产投资建设活动，包括新建、扩建、改建、技术改</w:t>
      </w:r>
      <w:r>
        <w:rPr>
          <w:spacing w:val="10"/>
        </w:rPr>
        <w:t xml:space="preserve"> </w:t>
      </w:r>
      <w:r>
        <w:t>造等。</w:t>
      </w:r>
    </w:p>
    <w:p w14:paraId="182BCA3A">
      <w:pPr>
        <w:pStyle w:val="2"/>
        <w:spacing w:before="47" w:line="328" w:lineRule="auto"/>
        <w:ind w:left="8" w:right="71" w:firstLine="636"/>
      </w:pPr>
      <w:r>
        <w:rPr>
          <w:rFonts w:ascii="黑体" w:hAnsi="黑体" w:eastAsia="黑体" w:cs="黑体"/>
          <w:spacing w:val="9"/>
        </w:rPr>
        <w:t xml:space="preserve">第三条  </w:t>
      </w:r>
      <w:r>
        <w:rPr>
          <w:spacing w:val="9"/>
        </w:rPr>
        <w:t>政府投资资金应当以非经营性项目为主。安排使用</w:t>
      </w:r>
      <w:r>
        <w:t xml:space="preserve"> </w:t>
      </w:r>
      <w:r>
        <w:rPr>
          <w:spacing w:val="9"/>
        </w:rPr>
        <w:t>政府投资资金的项目，应当符合国民经济和社会发展规划、城市</w:t>
      </w:r>
      <w:r>
        <w:rPr>
          <w:spacing w:val="6"/>
        </w:rPr>
        <w:t xml:space="preserve"> </w:t>
      </w:r>
      <w:r>
        <w:rPr>
          <w:spacing w:val="-16"/>
        </w:rPr>
        <w:t>总体规划、《大兴分区规划（</w:t>
      </w:r>
      <w:r>
        <w:rPr>
          <w:spacing w:val="-69"/>
        </w:rPr>
        <w:t xml:space="preserve"> </w:t>
      </w:r>
      <w:r>
        <w:rPr>
          <w:spacing w:val="-16"/>
        </w:rPr>
        <w:t>国土空间规划</w:t>
      </w:r>
      <w:r>
        <w:rPr>
          <w:spacing w:val="-74"/>
          <w:w w:val="83"/>
        </w:rPr>
        <w:t>）（</w:t>
      </w:r>
      <w:r>
        <w:rPr>
          <w:spacing w:val="-86"/>
        </w:rPr>
        <w:t xml:space="preserve"> </w:t>
      </w:r>
      <w:r>
        <w:rPr>
          <w:spacing w:val="-16"/>
        </w:rPr>
        <w:t>2017</w:t>
      </w:r>
      <w:r>
        <w:rPr>
          <w:spacing w:val="-57"/>
        </w:rPr>
        <w:t xml:space="preserve"> </w:t>
      </w:r>
      <w:r>
        <w:rPr>
          <w:spacing w:val="-16"/>
        </w:rPr>
        <w:t>年-2035</w:t>
      </w:r>
      <w:r>
        <w:rPr>
          <w:spacing w:val="-59"/>
        </w:rPr>
        <w:t xml:space="preserve"> </w:t>
      </w:r>
      <w:r>
        <w:rPr>
          <w:spacing w:val="-16"/>
        </w:rPr>
        <w:t>年）》，</w:t>
      </w:r>
      <w:r>
        <w:t xml:space="preserve"> </w:t>
      </w:r>
      <w:r>
        <w:rPr>
          <w:spacing w:val="10"/>
        </w:rPr>
        <w:t>投向基础设施、公共服务、智慧城市、农业农村</w:t>
      </w:r>
      <w:r>
        <w:rPr>
          <w:spacing w:val="9"/>
        </w:rPr>
        <w:t>、生态环保、科</w:t>
      </w:r>
      <w:r>
        <w:t xml:space="preserve"> </w:t>
      </w:r>
      <w:r>
        <w:rPr>
          <w:spacing w:val="-3"/>
        </w:rPr>
        <w:t>技创新、社会管理、国家安全等公共领域。</w:t>
      </w:r>
    </w:p>
    <w:p w14:paraId="563FB049">
      <w:pPr>
        <w:pStyle w:val="2"/>
        <w:spacing w:before="52" w:line="325" w:lineRule="auto"/>
        <w:ind w:right="71" w:firstLine="645"/>
      </w:pPr>
      <w:r>
        <w:rPr>
          <w:spacing w:val="9"/>
        </w:rPr>
        <w:t>本区完善有关政策措施，不断优化政府投资方向和结构，建</w:t>
      </w:r>
      <w:r>
        <w:rPr>
          <w:spacing w:val="8"/>
        </w:rPr>
        <w:t xml:space="preserve"> </w:t>
      </w:r>
      <w:r>
        <w:rPr>
          <w:spacing w:val="1"/>
        </w:rPr>
        <w:t>立政府投资支持基础性、公益性、长远性重大项目建设长效机制，</w:t>
      </w:r>
      <w:r>
        <w:rPr>
          <w:spacing w:val="13"/>
        </w:rPr>
        <w:t xml:space="preserve"> </w:t>
      </w:r>
      <w:r>
        <w:rPr>
          <w:spacing w:val="9"/>
        </w:rPr>
        <w:t>健全政府投资有效带动社会投资体制机制，发挥政府投资资金的</w:t>
      </w:r>
      <w:r>
        <w:rPr>
          <w:spacing w:val="18"/>
        </w:rPr>
        <w:t xml:space="preserve"> </w:t>
      </w:r>
      <w:r>
        <w:rPr>
          <w:spacing w:val="9"/>
        </w:rPr>
        <w:t>引导和带动作用，鼓励社会资金投向前款规定的领域。</w:t>
      </w:r>
    </w:p>
    <w:p w14:paraId="30B6323F">
      <w:pPr>
        <w:pStyle w:val="2"/>
        <w:spacing w:before="52" w:line="317" w:lineRule="auto"/>
        <w:ind w:left="14" w:right="155" w:firstLine="630"/>
      </w:pPr>
      <w:r>
        <w:rPr>
          <w:rFonts w:ascii="黑体" w:hAnsi="黑体" w:eastAsia="黑体" w:cs="黑体"/>
          <w:spacing w:val="9"/>
        </w:rPr>
        <w:t xml:space="preserve">第四条  </w:t>
      </w:r>
      <w:r>
        <w:rPr>
          <w:spacing w:val="9"/>
        </w:rPr>
        <w:t>区级政府投资应当遵循科学决策、规范管理、注重</w:t>
      </w:r>
      <w:r>
        <w:t xml:space="preserve"> </w:t>
      </w:r>
      <w:r>
        <w:rPr>
          <w:spacing w:val="5"/>
        </w:rPr>
        <w:t>绩效、公开透明、经济适用的原则。</w:t>
      </w:r>
    </w:p>
    <w:p w14:paraId="3A32D5B0">
      <w:pPr>
        <w:pStyle w:val="2"/>
        <w:spacing w:before="56" w:line="315" w:lineRule="auto"/>
        <w:ind w:left="7" w:right="155" w:firstLine="638"/>
      </w:pPr>
      <w:r>
        <w:rPr>
          <w:rFonts w:ascii="黑体" w:hAnsi="黑体" w:eastAsia="黑体" w:cs="黑体"/>
          <w:spacing w:val="9"/>
        </w:rPr>
        <w:t xml:space="preserve">第五条  </w:t>
      </w:r>
      <w:r>
        <w:rPr>
          <w:spacing w:val="9"/>
        </w:rPr>
        <w:t>政府投资资金按项目安排，可采用直接投资、资本</w:t>
      </w:r>
      <w:r>
        <w:t xml:space="preserve"> </w:t>
      </w:r>
      <w:r>
        <w:rPr>
          <w:spacing w:val="6"/>
        </w:rPr>
        <w:t>金注入、投资补助、贷款贴息等方式。</w:t>
      </w:r>
    </w:p>
    <w:p w14:paraId="6120F608">
      <w:pPr>
        <w:spacing w:line="315" w:lineRule="auto"/>
        <w:sectPr>
          <w:footerReference r:id="rId7" w:type="default"/>
          <w:pgSz w:w="11906" w:h="16838"/>
          <w:pgMar w:top="1431" w:right="1320" w:bottom="1141" w:left="1480" w:header="0" w:footer="863" w:gutter="0"/>
          <w:cols w:space="720" w:num="1"/>
        </w:sectPr>
      </w:pPr>
    </w:p>
    <w:p w14:paraId="6FB29668">
      <w:pPr>
        <w:pStyle w:val="2"/>
        <w:spacing w:before="182" w:line="323" w:lineRule="auto"/>
        <w:ind w:left="7" w:right="81" w:firstLine="643"/>
        <w:jc w:val="both"/>
      </w:pPr>
      <w:r>
        <w:rPr>
          <w:spacing w:val="9"/>
        </w:rPr>
        <w:t>对于政府事权范围内的非经营性项目，主要采取直接投资方</w:t>
      </w:r>
      <w:r>
        <w:rPr>
          <w:spacing w:val="4"/>
        </w:rPr>
        <w:t xml:space="preserve"> </w:t>
      </w:r>
      <w:r>
        <w:rPr>
          <w:spacing w:val="9"/>
        </w:rPr>
        <w:t>式。直接投资及资本金注入形成的资产按照国有资产管理有关规</w:t>
      </w:r>
      <w:r>
        <w:rPr>
          <w:spacing w:val="5"/>
        </w:rPr>
        <w:t xml:space="preserve"> </w:t>
      </w:r>
      <w:r>
        <w:rPr>
          <w:spacing w:val="-6"/>
        </w:rPr>
        <w:t>定执行。</w:t>
      </w:r>
    </w:p>
    <w:p w14:paraId="28B33173">
      <w:pPr>
        <w:pStyle w:val="2"/>
        <w:spacing w:before="55" w:line="325" w:lineRule="auto"/>
        <w:ind w:left="8" w:right="83" w:firstLine="635"/>
        <w:jc w:val="both"/>
      </w:pPr>
      <w:r>
        <w:rPr>
          <w:rFonts w:ascii="黑体" w:hAnsi="黑体" w:eastAsia="黑体" w:cs="黑体"/>
          <w:spacing w:val="9"/>
        </w:rPr>
        <w:t xml:space="preserve">第六条  </w:t>
      </w:r>
      <w:r>
        <w:rPr>
          <w:spacing w:val="9"/>
        </w:rPr>
        <w:t>加强对政府投资资金的预算约束，政府投资应</w:t>
      </w:r>
      <w:r>
        <w:rPr>
          <w:spacing w:val="8"/>
        </w:rPr>
        <w:t>当与</w:t>
      </w:r>
      <w:r>
        <w:t xml:space="preserve"> </w:t>
      </w:r>
      <w:r>
        <w:rPr>
          <w:spacing w:val="21"/>
        </w:rPr>
        <w:t>经济社会发展水平和财政收支状况相适应且符合区级财政事权</w:t>
      </w:r>
      <w:r>
        <w:rPr>
          <w:spacing w:val="1"/>
        </w:rPr>
        <w:t xml:space="preserve"> </w:t>
      </w:r>
      <w:r>
        <w:rPr>
          <w:spacing w:val="9"/>
        </w:rPr>
        <w:t>和支出责任，平等对待各类投资主体，不得设置歧视性条件，不</w:t>
      </w:r>
      <w:r>
        <w:rPr>
          <w:spacing w:val="5"/>
        </w:rPr>
        <w:t xml:space="preserve"> </w:t>
      </w:r>
      <w:r>
        <w:rPr>
          <w:spacing w:val="7"/>
        </w:rPr>
        <w:t>得违法违规举借债务。</w:t>
      </w:r>
    </w:p>
    <w:p w14:paraId="6F64DFCD">
      <w:pPr>
        <w:spacing w:line="255" w:lineRule="auto"/>
        <w:rPr>
          <w:rFonts w:ascii="Arial"/>
          <w:sz w:val="21"/>
        </w:rPr>
      </w:pPr>
    </w:p>
    <w:p w14:paraId="004FE4E9">
      <w:pPr>
        <w:spacing w:line="255" w:lineRule="auto"/>
        <w:rPr>
          <w:rFonts w:ascii="Arial"/>
          <w:sz w:val="21"/>
        </w:rPr>
      </w:pPr>
    </w:p>
    <w:p w14:paraId="4BBBDC7B">
      <w:pPr>
        <w:spacing w:before="101" w:line="226" w:lineRule="auto"/>
        <w:ind w:left="32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第二章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部门职责</w:t>
      </w:r>
    </w:p>
    <w:p w14:paraId="1933885E">
      <w:pPr>
        <w:pStyle w:val="2"/>
        <w:spacing w:before="181" w:line="323" w:lineRule="auto"/>
        <w:ind w:left="5" w:right="81" w:firstLine="639"/>
        <w:jc w:val="both"/>
      </w:pPr>
      <w:r>
        <w:rPr>
          <w:rFonts w:ascii="黑体" w:hAnsi="黑体" w:eastAsia="黑体" w:cs="黑体"/>
          <w:spacing w:val="9"/>
        </w:rPr>
        <w:t xml:space="preserve">第七条  </w:t>
      </w:r>
      <w:r>
        <w:rPr>
          <w:spacing w:val="9"/>
        </w:rPr>
        <w:t>区发展改革委是本区投资主管部门，履行政府投资</w:t>
      </w:r>
      <w:r>
        <w:rPr>
          <w:spacing w:val="1"/>
        </w:rPr>
        <w:t xml:space="preserve"> </w:t>
      </w:r>
      <w:r>
        <w:rPr>
          <w:spacing w:val="9"/>
        </w:rPr>
        <w:t xml:space="preserve">项目储备、审批管理、投资计划的编制、实施及调整等投资综合 </w:t>
      </w:r>
      <w:r>
        <w:rPr>
          <w:spacing w:val="-5"/>
        </w:rPr>
        <w:t>管理职责。</w:t>
      </w:r>
    </w:p>
    <w:p w14:paraId="376BEA7D">
      <w:pPr>
        <w:pStyle w:val="2"/>
        <w:spacing w:before="54" w:line="314" w:lineRule="auto"/>
        <w:ind w:left="10" w:right="150" w:firstLine="634"/>
      </w:pPr>
      <w:r>
        <w:rPr>
          <w:rFonts w:ascii="黑体" w:hAnsi="黑体" w:eastAsia="黑体" w:cs="黑体"/>
          <w:spacing w:val="6"/>
        </w:rPr>
        <w:t xml:space="preserve">第八条  </w:t>
      </w:r>
      <w:r>
        <w:rPr>
          <w:spacing w:val="6"/>
        </w:rPr>
        <w:t>区财政局负责统筹安排年度预算，办理资金拨付，</w:t>
      </w:r>
      <w:r>
        <w:rPr>
          <w:spacing w:val="13"/>
        </w:rPr>
        <w:t xml:space="preserve"> </w:t>
      </w:r>
      <w:r>
        <w:rPr>
          <w:spacing w:val="7"/>
        </w:rPr>
        <w:t>对使用政府投资资金项目的财务活动实施财政财</w:t>
      </w:r>
      <w:r>
        <w:rPr>
          <w:spacing w:val="6"/>
        </w:rPr>
        <w:t>务管理和监督。</w:t>
      </w:r>
    </w:p>
    <w:p w14:paraId="1AAE13A5">
      <w:pPr>
        <w:pStyle w:val="2"/>
        <w:spacing w:before="62" w:line="323" w:lineRule="auto"/>
        <w:ind w:right="84" w:firstLine="644"/>
      </w:pPr>
      <w:r>
        <w:rPr>
          <w:rFonts w:ascii="黑体" w:hAnsi="黑体" w:eastAsia="黑体" w:cs="黑体"/>
          <w:spacing w:val="9"/>
        </w:rPr>
        <w:t xml:space="preserve">第九条  </w:t>
      </w:r>
      <w:r>
        <w:rPr>
          <w:spacing w:val="9"/>
        </w:rPr>
        <w:t>规划自然资源、住房城乡建设、交通、生态环</w:t>
      </w:r>
      <w:r>
        <w:rPr>
          <w:spacing w:val="8"/>
        </w:rPr>
        <w:t>境、</w:t>
      </w:r>
      <w:r>
        <w:t xml:space="preserve"> </w:t>
      </w:r>
      <w:r>
        <w:rPr>
          <w:spacing w:val="9"/>
        </w:rPr>
        <w:t>水务、农业农村、园林绿化、审计等部门按照职责分工依法履行</w:t>
      </w:r>
      <w:r>
        <w:rPr>
          <w:spacing w:val="14"/>
        </w:rPr>
        <w:t xml:space="preserve"> </w:t>
      </w:r>
      <w:r>
        <w:rPr>
          <w:spacing w:val="8"/>
        </w:rPr>
        <w:t>相应的政府投资管理和监督职责。</w:t>
      </w:r>
    </w:p>
    <w:p w14:paraId="386E9397">
      <w:pPr>
        <w:spacing w:line="255" w:lineRule="auto"/>
        <w:rPr>
          <w:rFonts w:ascii="Arial"/>
          <w:sz w:val="21"/>
        </w:rPr>
      </w:pPr>
    </w:p>
    <w:p w14:paraId="4CDFE59D">
      <w:pPr>
        <w:spacing w:line="255" w:lineRule="auto"/>
        <w:rPr>
          <w:rFonts w:ascii="Arial"/>
          <w:sz w:val="21"/>
        </w:rPr>
      </w:pPr>
    </w:p>
    <w:p w14:paraId="7906CF02">
      <w:pPr>
        <w:spacing w:before="102" w:line="227" w:lineRule="auto"/>
        <w:ind w:left="28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第三章  政府投资决策</w:t>
      </w:r>
    </w:p>
    <w:p w14:paraId="12D641E5">
      <w:pPr>
        <w:pStyle w:val="2"/>
        <w:spacing w:before="179" w:line="314" w:lineRule="auto"/>
        <w:ind w:left="5" w:right="83" w:firstLine="639"/>
      </w:pPr>
      <w:r>
        <w:rPr>
          <w:rFonts w:ascii="黑体" w:hAnsi="黑体" w:eastAsia="黑体" w:cs="黑体"/>
          <w:spacing w:val="9"/>
        </w:rPr>
        <w:t xml:space="preserve">第十条  </w:t>
      </w:r>
      <w:r>
        <w:rPr>
          <w:spacing w:val="9"/>
        </w:rPr>
        <w:t>政府投资项目须纳入区级政府投资项目储备库，实</w:t>
      </w:r>
      <w:r>
        <w:t xml:space="preserve"> </w:t>
      </w:r>
      <w:r>
        <w:rPr>
          <w:spacing w:val="9"/>
        </w:rPr>
        <w:t>施分类动态管理，成熟后按程序纳入年度政府投资计划安排。</w:t>
      </w:r>
    </w:p>
    <w:p w14:paraId="31E468B5">
      <w:pPr>
        <w:pStyle w:val="2"/>
        <w:spacing w:before="66" w:line="322" w:lineRule="auto"/>
        <w:ind w:left="13" w:firstLine="630"/>
      </w:pPr>
      <w:r>
        <w:rPr>
          <w:rFonts w:ascii="黑体" w:hAnsi="黑体" w:eastAsia="黑体" w:cs="黑体"/>
          <w:spacing w:val="9"/>
        </w:rPr>
        <w:t xml:space="preserve">第十一条  </w:t>
      </w:r>
      <w:r>
        <w:rPr>
          <w:spacing w:val="9"/>
        </w:rPr>
        <w:t>采取直接投资、资本金注入方式投资的项目，项</w:t>
      </w:r>
      <w:r>
        <w:t xml:space="preserve"> </w:t>
      </w:r>
      <w:r>
        <w:rPr>
          <w:spacing w:val="1"/>
        </w:rPr>
        <w:t>目单位应当编制项目建议书、可行性研究报告、初步设计及概</w:t>
      </w:r>
      <w:r>
        <w:t xml:space="preserve">算， </w:t>
      </w:r>
      <w:r>
        <w:rPr>
          <w:spacing w:val="9"/>
        </w:rPr>
        <w:t>报投资主管部门或者其他有关部门审批，审批程序按本区有关要</w:t>
      </w:r>
    </w:p>
    <w:p w14:paraId="4928323E">
      <w:pPr>
        <w:spacing w:line="322" w:lineRule="auto"/>
        <w:sectPr>
          <w:footerReference r:id="rId8" w:type="default"/>
          <w:pgSz w:w="11906" w:h="16838"/>
          <w:pgMar w:top="1431" w:right="1391" w:bottom="1141" w:left="1482" w:header="0" w:footer="863" w:gutter="0"/>
          <w:cols w:space="720" w:num="1"/>
        </w:sectPr>
      </w:pPr>
    </w:p>
    <w:p w14:paraId="07B16BA1">
      <w:pPr>
        <w:pStyle w:val="2"/>
        <w:spacing w:before="185" w:line="221" w:lineRule="auto"/>
        <w:ind w:left="17"/>
      </w:pPr>
      <w:r>
        <w:t>求执行。</w:t>
      </w:r>
    </w:p>
    <w:p w14:paraId="1644432A">
      <w:pPr>
        <w:pStyle w:val="2"/>
        <w:spacing w:before="187" w:line="322" w:lineRule="auto"/>
        <w:ind w:left="10" w:firstLine="638"/>
        <w:jc w:val="both"/>
      </w:pPr>
      <w:r>
        <w:rPr>
          <w:spacing w:val="9"/>
        </w:rPr>
        <w:t>项目单位应当加强政府投资项目的前期工作，保证前期工作</w:t>
      </w:r>
      <w:r>
        <w:rPr>
          <w:spacing w:val="6"/>
        </w:rPr>
        <w:t xml:space="preserve"> </w:t>
      </w:r>
      <w:r>
        <w:rPr>
          <w:spacing w:val="9"/>
        </w:rPr>
        <w:t>深度达到规定要求，并对项目建议书、可行性研究报告、初步设</w:t>
      </w:r>
      <w:r>
        <w:rPr>
          <w:spacing w:val="7"/>
        </w:rPr>
        <w:t xml:space="preserve"> </w:t>
      </w:r>
      <w:r>
        <w:rPr>
          <w:spacing w:val="8"/>
        </w:rPr>
        <w:t>计及概算以及依法应当附具的其他文件的真实性负责。</w:t>
      </w:r>
    </w:p>
    <w:p w14:paraId="2E4CF291">
      <w:pPr>
        <w:pStyle w:val="2"/>
        <w:spacing w:before="56" w:line="326" w:lineRule="auto"/>
        <w:ind w:left="1" w:firstLine="643"/>
        <w:jc w:val="both"/>
      </w:pPr>
      <w:r>
        <w:rPr>
          <w:rFonts w:ascii="黑体" w:hAnsi="黑体" w:eastAsia="黑体" w:cs="黑体"/>
          <w:spacing w:val="9"/>
        </w:rPr>
        <w:t xml:space="preserve">第十二条  </w:t>
      </w:r>
      <w:r>
        <w:rPr>
          <w:spacing w:val="9"/>
        </w:rPr>
        <w:t>除涉及国家秘密的项目外，项目单位应当通过北</w:t>
      </w:r>
      <w:r>
        <w:rPr>
          <w:spacing w:val="1"/>
        </w:rPr>
        <w:t xml:space="preserve"> </w:t>
      </w:r>
      <w:r>
        <w:rPr>
          <w:spacing w:val="6"/>
        </w:rPr>
        <w:t>京市投资项目在线审批监管平台（</w:t>
      </w:r>
      <w:r>
        <w:rPr>
          <w:spacing w:val="-53"/>
        </w:rPr>
        <w:t xml:space="preserve"> </w:t>
      </w:r>
      <w:r>
        <w:rPr>
          <w:spacing w:val="6"/>
        </w:rPr>
        <w:t>以下简称在线平台</w:t>
      </w:r>
      <w:r>
        <w:rPr>
          <w:spacing w:val="5"/>
        </w:rPr>
        <w:t>）获取固定</w:t>
      </w:r>
      <w:r>
        <w:t xml:space="preserve"> </w:t>
      </w:r>
      <w:r>
        <w:rPr>
          <w:spacing w:val="9"/>
        </w:rPr>
        <w:t>资产投资项目代码，投资主管部门和其他有关部门应当使用项目</w:t>
      </w:r>
      <w:r>
        <w:rPr>
          <w:spacing w:val="12"/>
        </w:rPr>
        <w:t xml:space="preserve"> </w:t>
      </w:r>
      <w:r>
        <w:rPr>
          <w:spacing w:val="8"/>
        </w:rPr>
        <w:t>代码办理政府投资项目审批手续。</w:t>
      </w:r>
    </w:p>
    <w:p w14:paraId="6D70A22C">
      <w:pPr>
        <w:pStyle w:val="2"/>
        <w:spacing w:before="50" w:line="322" w:lineRule="auto"/>
        <w:ind w:left="3" w:firstLine="640"/>
        <w:jc w:val="both"/>
      </w:pPr>
      <w:r>
        <w:rPr>
          <w:rFonts w:ascii="黑体" w:hAnsi="黑体" w:eastAsia="黑体" w:cs="黑体"/>
          <w:spacing w:val="21"/>
        </w:rPr>
        <w:t xml:space="preserve">第十三条  </w:t>
      </w:r>
      <w:r>
        <w:rPr>
          <w:spacing w:val="21"/>
        </w:rPr>
        <w:t>投资主管部门或者其他有关部门应当从下列方</w:t>
      </w:r>
      <w:r>
        <w:rPr>
          <w:spacing w:val="8"/>
        </w:rPr>
        <w:t xml:space="preserve"> </w:t>
      </w:r>
      <w:r>
        <w:rPr>
          <w:spacing w:val="9"/>
        </w:rPr>
        <w:t>面对政府投资项目进行审查，审查时根据需要可委托中介服务机</w:t>
      </w:r>
      <w:r>
        <w:rPr>
          <w:spacing w:val="12"/>
        </w:rPr>
        <w:t xml:space="preserve"> </w:t>
      </w:r>
      <w:r>
        <w:rPr>
          <w:spacing w:val="5"/>
        </w:rPr>
        <w:t>构进行评估：</w:t>
      </w:r>
    </w:p>
    <w:p w14:paraId="103DB207">
      <w:pPr>
        <w:pStyle w:val="2"/>
        <w:spacing w:before="59" w:line="220" w:lineRule="auto"/>
        <w:ind w:left="636"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一）项目建议书提出的项目建设的必要性；</w:t>
      </w:r>
    </w:p>
    <w:p w14:paraId="40A1870D">
      <w:pPr>
        <w:pStyle w:val="2"/>
        <w:spacing w:before="190" w:line="278" w:lineRule="auto"/>
        <w:ind w:left="12" w:right="2" w:firstLine="624"/>
      </w:pPr>
      <w:r>
        <w:rPr>
          <w:spacing w:val="7"/>
        </w:rPr>
        <w:t>（二</w:t>
      </w:r>
      <w:r>
        <w:rPr>
          <w:spacing w:val="-84"/>
        </w:rPr>
        <w:t xml:space="preserve"> </w:t>
      </w:r>
      <w:r>
        <w:rPr>
          <w:spacing w:val="7"/>
        </w:rPr>
        <w:t>）可行性研究报告分析的项目的技术经济可行</w:t>
      </w:r>
      <w:r>
        <w:rPr>
          <w:spacing w:val="6"/>
        </w:rPr>
        <w:t>性、社会</w:t>
      </w:r>
      <w:r>
        <w:t xml:space="preserve"> </w:t>
      </w:r>
      <w:r>
        <w:rPr>
          <w:spacing w:val="8"/>
        </w:rPr>
        <w:t>效益以及项目资金等主要建设条件的落实情况；</w:t>
      </w:r>
    </w:p>
    <w:p w14:paraId="253C1C48">
      <w:pPr>
        <w:pStyle w:val="2"/>
        <w:spacing w:before="188" w:line="278" w:lineRule="auto"/>
        <w:ind w:left="13" w:right="3" w:firstLine="622"/>
      </w:pPr>
      <w:r>
        <w:rPr>
          <w:spacing w:val="6"/>
        </w:rPr>
        <w:t>（三</w:t>
      </w:r>
      <w:r>
        <w:rPr>
          <w:spacing w:val="-62"/>
        </w:rPr>
        <w:t xml:space="preserve"> </w:t>
      </w:r>
      <w:r>
        <w:rPr>
          <w:spacing w:val="6"/>
        </w:rPr>
        <w:t>）初步设计及其提出的投资概算是否符合可行性研究报</w:t>
      </w:r>
      <w:r>
        <w:t xml:space="preserve"> </w:t>
      </w:r>
      <w:r>
        <w:rPr>
          <w:spacing w:val="8"/>
        </w:rPr>
        <w:t>告批复以及国家有关标准和规范的要求；</w:t>
      </w:r>
    </w:p>
    <w:p w14:paraId="65DC5918">
      <w:pPr>
        <w:pStyle w:val="2"/>
        <w:spacing w:before="185" w:line="278" w:lineRule="auto"/>
        <w:ind w:left="13" w:firstLine="622"/>
      </w:pPr>
      <w:r>
        <w:rPr>
          <w:spacing w:val="6"/>
        </w:rPr>
        <w:t>（四</w:t>
      </w:r>
      <w:r>
        <w:rPr>
          <w:spacing w:val="-60"/>
        </w:rPr>
        <w:t xml:space="preserve"> </w:t>
      </w:r>
      <w:r>
        <w:rPr>
          <w:spacing w:val="6"/>
        </w:rPr>
        <w:t>）依照法律、行政法规和国家有关规定应当审查的其他</w:t>
      </w:r>
      <w:r>
        <w:t xml:space="preserve"> </w:t>
      </w:r>
      <w:r>
        <w:rPr>
          <w:spacing w:val="-2"/>
        </w:rPr>
        <w:t>事项。</w:t>
      </w:r>
    </w:p>
    <w:p w14:paraId="506053E3">
      <w:pPr>
        <w:pStyle w:val="2"/>
        <w:spacing w:before="184" w:line="326" w:lineRule="auto"/>
        <w:ind w:left="10" w:firstLine="640"/>
      </w:pPr>
      <w:r>
        <w:rPr>
          <w:spacing w:val="9"/>
        </w:rPr>
        <w:t>对经济社会发展、社会公众利益有重大影响或者投资规模较</w:t>
      </w:r>
      <w:r>
        <w:rPr>
          <w:spacing w:val="3"/>
        </w:rPr>
        <w:t xml:space="preserve"> </w:t>
      </w:r>
      <w:r>
        <w:rPr>
          <w:spacing w:val="9"/>
        </w:rPr>
        <w:t>大的政府投资项目，投资主管部门或者其他有关部门作出是否批</w:t>
      </w:r>
      <w:r>
        <w:rPr>
          <w:spacing w:val="3"/>
        </w:rPr>
        <w:t xml:space="preserve"> </w:t>
      </w:r>
      <w:r>
        <w:rPr>
          <w:spacing w:val="9"/>
        </w:rPr>
        <w:t>准的决定前，应当根据需要开展中介服务机构评估、公众参与、</w:t>
      </w:r>
      <w:r>
        <w:rPr>
          <w:spacing w:val="6"/>
        </w:rPr>
        <w:t xml:space="preserve"> </w:t>
      </w:r>
      <w:r>
        <w:rPr>
          <w:spacing w:val="4"/>
        </w:rPr>
        <w:t>专家评议、风险评估等工作。</w:t>
      </w:r>
    </w:p>
    <w:p w14:paraId="045A6B5D">
      <w:pPr>
        <w:pStyle w:val="2"/>
        <w:spacing w:before="49" w:line="316" w:lineRule="auto"/>
        <w:ind w:left="48" w:right="2" w:firstLine="595"/>
      </w:pPr>
      <w:r>
        <w:rPr>
          <w:rFonts w:ascii="黑体" w:hAnsi="黑体" w:eastAsia="黑体" w:cs="黑体"/>
          <w:spacing w:val="9"/>
        </w:rPr>
        <w:t xml:space="preserve">第十四条  </w:t>
      </w:r>
      <w:r>
        <w:rPr>
          <w:spacing w:val="9"/>
        </w:rPr>
        <w:t>项目建议书应当对项目建设的必要性、主要建设</w:t>
      </w:r>
      <w:r>
        <w:t xml:space="preserve"> </w:t>
      </w:r>
      <w:r>
        <w:rPr>
          <w:spacing w:val="8"/>
        </w:rPr>
        <w:t>内容、拟建地点、拟建规模、投资匡算、资金筹</w:t>
      </w:r>
      <w:r>
        <w:rPr>
          <w:spacing w:val="7"/>
        </w:rPr>
        <w:t>措方式以及社会</w:t>
      </w:r>
    </w:p>
    <w:p w14:paraId="1A04B25B">
      <w:pPr>
        <w:spacing w:line="316" w:lineRule="auto"/>
        <w:sectPr>
          <w:footerReference r:id="rId9" w:type="default"/>
          <w:pgSz w:w="11906" w:h="16838"/>
          <w:pgMar w:top="1431" w:right="1472" w:bottom="1141" w:left="1482" w:header="0" w:footer="863" w:gutter="0"/>
          <w:cols w:space="720" w:num="1"/>
        </w:sectPr>
      </w:pPr>
    </w:p>
    <w:p w14:paraId="1D4774BF">
      <w:pPr>
        <w:pStyle w:val="2"/>
        <w:spacing w:before="185" w:line="318" w:lineRule="auto"/>
        <w:ind w:left="10" w:right="91"/>
      </w:pPr>
      <w:r>
        <w:rPr>
          <w:spacing w:val="6"/>
        </w:rPr>
        <w:t>效益和经济效益等进行初步分析。项目建议书的编制格式、</w:t>
      </w:r>
      <w:r>
        <w:rPr>
          <w:spacing w:val="-69"/>
        </w:rPr>
        <w:t xml:space="preserve"> </w:t>
      </w:r>
      <w:r>
        <w:rPr>
          <w:spacing w:val="6"/>
        </w:rPr>
        <w:t>内容</w:t>
      </w:r>
      <w:r>
        <w:t xml:space="preserve"> </w:t>
      </w:r>
      <w:r>
        <w:rPr>
          <w:spacing w:val="7"/>
        </w:rPr>
        <w:t>和深度应当达到规定要求。</w:t>
      </w:r>
    </w:p>
    <w:p w14:paraId="2E4FC4D2">
      <w:pPr>
        <w:pStyle w:val="2"/>
        <w:spacing w:before="45" w:line="326" w:lineRule="auto"/>
        <w:ind w:left="3" w:right="88" w:firstLine="639"/>
      </w:pPr>
      <w:r>
        <w:rPr>
          <w:rFonts w:ascii="黑体" w:hAnsi="黑体" w:eastAsia="黑体" w:cs="黑体"/>
          <w:spacing w:val="21"/>
        </w:rPr>
        <w:t xml:space="preserve">第十五条  </w:t>
      </w:r>
      <w:r>
        <w:rPr>
          <w:spacing w:val="21"/>
        </w:rPr>
        <w:t>可行性研究报告应当对项目在技术和经济上的</w:t>
      </w:r>
      <w:r>
        <w:rPr>
          <w:spacing w:val="8"/>
        </w:rPr>
        <w:t xml:space="preserve"> </w:t>
      </w:r>
      <w:r>
        <w:rPr>
          <w:spacing w:val="9"/>
        </w:rPr>
        <w:t xml:space="preserve">可行性以及社会效益、资源综合利用、生态环境影响、社会稳定 风险等进行全面分析论证，落实各项建设和运行保障条件，并附 </w:t>
      </w:r>
      <w:r>
        <w:rPr>
          <w:spacing w:val="6"/>
        </w:rPr>
        <w:t>按照有关规定取得的相关许可、审查意见等。</w:t>
      </w:r>
    </w:p>
    <w:p w14:paraId="6C208F50">
      <w:pPr>
        <w:pStyle w:val="2"/>
        <w:spacing w:before="53" w:line="322" w:lineRule="auto"/>
        <w:ind w:firstLine="643"/>
      </w:pPr>
      <w:r>
        <w:rPr>
          <w:rFonts w:ascii="黑体" w:hAnsi="黑体" w:eastAsia="黑体" w:cs="黑体"/>
          <w:spacing w:val="10"/>
        </w:rPr>
        <w:t xml:space="preserve">第十六条  </w:t>
      </w:r>
      <w:r>
        <w:rPr>
          <w:spacing w:val="10"/>
        </w:rPr>
        <w:t>初步设计应当明确项目的建设内容、建设规模、</w:t>
      </w:r>
      <w:r>
        <w:rPr>
          <w:spacing w:val="4"/>
        </w:rPr>
        <w:t xml:space="preserve"> </w:t>
      </w:r>
      <w:r>
        <w:rPr>
          <w:spacing w:val="9"/>
        </w:rPr>
        <w:t>建设标准、用地规模、主要材料、设备规格和技术参数等设计方</w:t>
      </w:r>
      <w:r>
        <w:rPr>
          <w:spacing w:val="13"/>
        </w:rPr>
        <w:t xml:space="preserve"> </w:t>
      </w:r>
      <w:r>
        <w:rPr>
          <w:spacing w:val="1"/>
        </w:rPr>
        <w:t>案，达到国家规定的深度，且应当符合可行性研究报告批复内容。</w:t>
      </w:r>
    </w:p>
    <w:p w14:paraId="0446ECD9">
      <w:pPr>
        <w:pStyle w:val="2"/>
        <w:spacing w:before="59" w:line="323" w:lineRule="auto"/>
        <w:ind w:right="91" w:firstLine="647"/>
      </w:pPr>
      <w:r>
        <w:rPr>
          <w:spacing w:val="9"/>
        </w:rPr>
        <w:t>项目单位应当根据初步设计编制投资概算，投资概算需包括</w:t>
      </w:r>
      <w:r>
        <w:rPr>
          <w:spacing w:val="4"/>
        </w:rPr>
        <w:t xml:space="preserve"> </w:t>
      </w:r>
      <w:r>
        <w:rPr>
          <w:spacing w:val="9"/>
        </w:rPr>
        <w:t>国家及本市规定的项目建设所需全部费用，包括工程费用、工程</w:t>
      </w:r>
      <w:r>
        <w:rPr>
          <w:spacing w:val="13"/>
        </w:rPr>
        <w:t xml:space="preserve"> </w:t>
      </w:r>
      <w:r>
        <w:rPr>
          <w:spacing w:val="8"/>
        </w:rPr>
        <w:t>建设其他费用、预备费等。</w:t>
      </w:r>
    </w:p>
    <w:p w14:paraId="3D59B3C1">
      <w:pPr>
        <w:pStyle w:val="2"/>
        <w:spacing w:before="49" w:line="326" w:lineRule="auto"/>
        <w:ind w:left="3" w:right="90" w:firstLine="639"/>
        <w:jc w:val="both"/>
      </w:pPr>
      <w:r>
        <w:rPr>
          <w:rFonts w:ascii="黑体" w:hAnsi="黑体" w:eastAsia="黑体" w:cs="黑体"/>
          <w:spacing w:val="21"/>
        </w:rPr>
        <w:t xml:space="preserve">第十七条  </w:t>
      </w:r>
      <w:r>
        <w:rPr>
          <w:spacing w:val="21"/>
        </w:rPr>
        <w:t>经批准的初步设计及概算是控制政府投资项目</w:t>
      </w:r>
      <w:r>
        <w:rPr>
          <w:spacing w:val="6"/>
        </w:rPr>
        <w:t xml:space="preserve"> </w:t>
      </w:r>
      <w:r>
        <w:rPr>
          <w:spacing w:val="9"/>
        </w:rPr>
        <w:t xml:space="preserve">总投资的依据，项目单位应严格按照批复进行施工图设计，组织 施工建设，确保项目总投资控制在概算以内。超过概算批复按相 </w:t>
      </w:r>
      <w:r>
        <w:rPr>
          <w:spacing w:val="5"/>
        </w:rPr>
        <w:t>关规定执行。</w:t>
      </w:r>
    </w:p>
    <w:p w14:paraId="0681F441">
      <w:pPr>
        <w:pStyle w:val="2"/>
        <w:spacing w:before="49" w:line="326" w:lineRule="auto"/>
        <w:ind w:left="5" w:right="91" w:firstLine="638"/>
      </w:pPr>
      <w:r>
        <w:rPr>
          <w:rFonts w:ascii="黑体" w:hAnsi="黑体" w:eastAsia="黑体" w:cs="黑体"/>
          <w:spacing w:val="9"/>
        </w:rPr>
        <w:t xml:space="preserve">第十八条  </w:t>
      </w:r>
      <w:r>
        <w:rPr>
          <w:spacing w:val="9"/>
        </w:rPr>
        <w:t>采取投资补助、贷款贴息等方式安排政府投</w:t>
      </w:r>
      <w:r>
        <w:rPr>
          <w:spacing w:val="8"/>
        </w:rPr>
        <w:t>资资</w:t>
      </w:r>
      <w:r>
        <w:t xml:space="preserve"> </w:t>
      </w:r>
      <w:r>
        <w:rPr>
          <w:spacing w:val="9"/>
        </w:rPr>
        <w:t>金的，项目单位应当在完成项目审批、核准或者备案程序后，按</w:t>
      </w:r>
      <w:r>
        <w:rPr>
          <w:spacing w:val="8"/>
        </w:rPr>
        <w:t xml:space="preserve"> </w:t>
      </w:r>
      <w:r>
        <w:rPr>
          <w:spacing w:val="9"/>
        </w:rPr>
        <w:t>照规定向投资主管部门或者其他有关部门提交资金申请报告，参</w:t>
      </w:r>
      <w:r>
        <w:rPr>
          <w:spacing w:val="8"/>
        </w:rPr>
        <w:t xml:space="preserve"> </w:t>
      </w:r>
      <w:r>
        <w:rPr>
          <w:spacing w:val="6"/>
        </w:rPr>
        <w:t>照直接投资等项目审批程序，按本区有关要求执行。</w:t>
      </w:r>
    </w:p>
    <w:p w14:paraId="5BE4A873">
      <w:pPr>
        <w:pStyle w:val="2"/>
        <w:spacing w:before="53" w:line="324" w:lineRule="auto"/>
        <w:ind w:left="46" w:right="7" w:firstLine="610"/>
      </w:pPr>
      <w:r>
        <w:rPr>
          <w:spacing w:val="10"/>
        </w:rPr>
        <w:t>资金申请报告应当包括项目单位基本情况、项目基本情况、</w:t>
      </w:r>
      <w:r>
        <w:t xml:space="preserve"> 申报理由和政策依据、建设资金落实情况、项目实</w:t>
      </w:r>
      <w:r>
        <w:rPr>
          <w:spacing w:val="-1"/>
        </w:rPr>
        <w:t>施后预期效果，</w:t>
      </w:r>
      <w:r>
        <w:t xml:space="preserve"> </w:t>
      </w:r>
      <w:r>
        <w:rPr>
          <w:spacing w:val="7"/>
        </w:rPr>
        <w:t>以及按照有关规定应当取得的相关许可、审查意见等。</w:t>
      </w:r>
    </w:p>
    <w:p w14:paraId="70381E8B">
      <w:pPr>
        <w:pStyle w:val="2"/>
        <w:spacing w:before="46" w:line="224" w:lineRule="auto"/>
        <w:ind w:left="647"/>
      </w:pPr>
      <w:r>
        <w:rPr>
          <w:spacing w:val="9"/>
        </w:rPr>
        <w:t>投资补助、贷款贴息应当用于续建或者计划新开工项目，原</w:t>
      </w:r>
    </w:p>
    <w:p w14:paraId="4B9703BB">
      <w:pPr>
        <w:spacing w:line="224" w:lineRule="auto"/>
        <w:sectPr>
          <w:footerReference r:id="rId10" w:type="default"/>
          <w:pgSz w:w="11906" w:h="16838"/>
          <w:pgMar w:top="1431" w:right="1383" w:bottom="1139" w:left="1483" w:header="0" w:footer="863" w:gutter="0"/>
          <w:cols w:space="720" w:num="1"/>
        </w:sectPr>
      </w:pPr>
    </w:p>
    <w:p w14:paraId="788A24F4">
      <w:pPr>
        <w:pStyle w:val="2"/>
        <w:spacing w:before="185" w:line="222" w:lineRule="auto"/>
        <w:ind w:left="13"/>
      </w:pPr>
      <w:r>
        <w:rPr>
          <w:spacing w:val="7"/>
        </w:rPr>
        <w:t>则上不得用于已完工项目。</w:t>
      </w:r>
    </w:p>
    <w:p w14:paraId="4EBF1088">
      <w:pPr>
        <w:pStyle w:val="2"/>
        <w:spacing w:before="185" w:line="315" w:lineRule="auto"/>
        <w:ind w:left="18" w:right="84" w:firstLine="630"/>
      </w:pPr>
      <w:r>
        <w:rPr>
          <w:rFonts w:ascii="黑体" w:hAnsi="黑体" w:eastAsia="黑体" w:cs="黑体"/>
          <w:spacing w:val="9"/>
        </w:rPr>
        <w:t xml:space="preserve">第十九条  </w:t>
      </w:r>
      <w:r>
        <w:rPr>
          <w:spacing w:val="9"/>
        </w:rPr>
        <w:t>对下列政府投资项目，可以按照国家及本市有关</w:t>
      </w:r>
      <w:r>
        <w:t xml:space="preserve"> </w:t>
      </w:r>
      <w:r>
        <w:rPr>
          <w:spacing w:val="4"/>
        </w:rPr>
        <w:t>规定简化需要报批的文件和审批程序：</w:t>
      </w:r>
    </w:p>
    <w:p w14:paraId="04EE6BB2">
      <w:pPr>
        <w:pStyle w:val="2"/>
        <w:spacing w:before="65" w:line="295" w:lineRule="auto"/>
        <w:ind w:right="11" w:firstLine="641"/>
      </w:pPr>
      <w:r>
        <w:rPr>
          <w:spacing w:val="4"/>
        </w:rPr>
        <w:t>（</w:t>
      </w:r>
      <w:r>
        <w:rPr>
          <w:spacing w:val="-79"/>
        </w:rPr>
        <w:t xml:space="preserve"> </w:t>
      </w:r>
      <w:r>
        <w:rPr>
          <w:spacing w:val="4"/>
        </w:rPr>
        <w:t>一）经国家、市级、</w:t>
      </w:r>
      <w:r>
        <w:rPr>
          <w:spacing w:val="-86"/>
        </w:rPr>
        <w:t xml:space="preserve"> </w:t>
      </w:r>
      <w:r>
        <w:rPr>
          <w:spacing w:val="4"/>
        </w:rPr>
        <w:t>区级及有关部门批准的专项规划等相</w:t>
      </w:r>
      <w:r>
        <w:t xml:space="preserve"> </w:t>
      </w:r>
      <w:r>
        <w:rPr>
          <w:spacing w:val="9"/>
        </w:rPr>
        <w:t>关规划中已经明确的项目，或者前期方案设计深度已达到可行性</w:t>
      </w:r>
      <w:r>
        <w:rPr>
          <w:spacing w:val="18"/>
        </w:rPr>
        <w:t xml:space="preserve"> </w:t>
      </w:r>
      <w:r>
        <w:rPr>
          <w:spacing w:val="5"/>
        </w:rPr>
        <w:t>研究报告深度的，可直接审批项目建议书（代可行性研究报告</w:t>
      </w:r>
      <w:r>
        <w:rPr>
          <w:spacing w:val="-51"/>
        </w:rPr>
        <w:t>）；</w:t>
      </w:r>
    </w:p>
    <w:p w14:paraId="39996AD4">
      <w:pPr>
        <w:pStyle w:val="2"/>
        <w:spacing w:before="191" w:line="305" w:lineRule="auto"/>
        <w:ind w:left="11" w:right="83" w:firstLine="630"/>
      </w:pPr>
      <w:r>
        <w:rPr>
          <w:spacing w:val="7"/>
        </w:rPr>
        <w:t>（二</w:t>
      </w:r>
      <w:r>
        <w:rPr>
          <w:spacing w:val="-83"/>
        </w:rPr>
        <w:t xml:space="preserve"> </w:t>
      </w:r>
      <w:r>
        <w:rPr>
          <w:spacing w:val="7"/>
        </w:rPr>
        <w:t>）对建设内容单一、建设地点分散、投资规模</w:t>
      </w:r>
      <w:r>
        <w:rPr>
          <w:spacing w:val="6"/>
        </w:rPr>
        <w:t>较小、技</w:t>
      </w:r>
      <w:r>
        <w:t xml:space="preserve"> </w:t>
      </w:r>
      <w:r>
        <w:rPr>
          <w:spacing w:val="7"/>
        </w:rPr>
        <w:t>术方案简单的项目，</w:t>
      </w:r>
      <w:r>
        <w:rPr>
          <w:spacing w:val="-86"/>
        </w:rPr>
        <w:t xml:space="preserve"> </w:t>
      </w:r>
      <w:r>
        <w:rPr>
          <w:spacing w:val="7"/>
        </w:rPr>
        <w:t>以及为应对自然灾害、事故灾难</w:t>
      </w:r>
      <w:r>
        <w:rPr>
          <w:spacing w:val="6"/>
        </w:rPr>
        <w:t>、公共卫生</w:t>
      </w:r>
      <w:r>
        <w:t xml:space="preserve"> </w:t>
      </w:r>
      <w:r>
        <w:rPr>
          <w:spacing w:val="9"/>
        </w:rPr>
        <w:t>事件、社会安全事件等突发事件需要紧急建设的项目，可简化审</w:t>
      </w:r>
      <w:r>
        <w:rPr>
          <w:spacing w:val="8"/>
        </w:rPr>
        <w:t xml:space="preserve"> 批手续，直接审批达到初步设计概算深度的实施方案；</w:t>
      </w:r>
    </w:p>
    <w:p w14:paraId="0069E1C9">
      <w:pPr>
        <w:pStyle w:val="2"/>
        <w:spacing w:before="190" w:line="277" w:lineRule="auto"/>
        <w:ind w:left="66" w:right="82" w:firstLine="575"/>
      </w:pPr>
      <w:r>
        <w:rPr>
          <w:spacing w:val="18"/>
        </w:rPr>
        <w:t>（</w:t>
      </w:r>
      <w:r>
        <w:rPr>
          <w:spacing w:val="-44"/>
        </w:rPr>
        <w:t xml:space="preserve"> </w:t>
      </w:r>
      <w:r>
        <w:rPr>
          <w:spacing w:val="18"/>
        </w:rPr>
        <w:t>三）其他国家或者本市规定可简化报批文件和程序的项</w:t>
      </w:r>
      <w:r>
        <w:t xml:space="preserve"> </w:t>
      </w:r>
      <w:r>
        <w:rPr>
          <w:spacing w:val="-2"/>
        </w:rPr>
        <w:t>目，按照相关规定执行。</w:t>
      </w:r>
    </w:p>
    <w:p w14:paraId="78DF1336">
      <w:pPr>
        <w:spacing w:line="321" w:lineRule="auto"/>
        <w:rPr>
          <w:rFonts w:ascii="Arial"/>
          <w:sz w:val="21"/>
        </w:rPr>
      </w:pPr>
    </w:p>
    <w:p w14:paraId="4D552EF6">
      <w:pPr>
        <w:spacing w:line="322" w:lineRule="auto"/>
        <w:rPr>
          <w:rFonts w:ascii="Arial"/>
          <w:sz w:val="21"/>
        </w:rPr>
      </w:pPr>
    </w:p>
    <w:p w14:paraId="45CC4CD1">
      <w:pPr>
        <w:spacing w:before="102" w:line="227" w:lineRule="auto"/>
        <w:ind w:left="25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 政府投资年度计划</w:t>
      </w:r>
    </w:p>
    <w:p w14:paraId="0750855B">
      <w:pPr>
        <w:pStyle w:val="2"/>
        <w:spacing w:before="175" w:line="328" w:lineRule="auto"/>
        <w:ind w:left="4" w:firstLine="644"/>
        <w:jc w:val="both"/>
      </w:pPr>
      <w:r>
        <w:rPr>
          <w:rFonts w:ascii="黑体" w:hAnsi="黑体" w:eastAsia="黑体" w:cs="黑体"/>
          <w:spacing w:val="9"/>
        </w:rPr>
        <w:t xml:space="preserve">第二十条  </w:t>
      </w:r>
      <w:r>
        <w:rPr>
          <w:spacing w:val="9"/>
        </w:rPr>
        <w:t>政府投资资金实行计划管理。投资主管部门应当</w:t>
      </w:r>
      <w:r>
        <w:t xml:space="preserve"> </w:t>
      </w:r>
      <w:r>
        <w:rPr>
          <w:spacing w:val="9"/>
        </w:rPr>
        <w:t>根据本区经济社会发展要求统筹平衡，编制政府投资年度计划建</w:t>
      </w:r>
      <w:r>
        <w:rPr>
          <w:spacing w:val="14"/>
        </w:rPr>
        <w:t xml:space="preserve"> </w:t>
      </w:r>
      <w:r>
        <w:rPr>
          <w:spacing w:val="4"/>
        </w:rPr>
        <w:t>议，按程序报区政府常务会、</w:t>
      </w:r>
      <w:r>
        <w:rPr>
          <w:spacing w:val="-70"/>
        </w:rPr>
        <w:t xml:space="preserve"> </w:t>
      </w:r>
      <w:r>
        <w:rPr>
          <w:spacing w:val="4"/>
        </w:rPr>
        <w:t>区委常委会、</w:t>
      </w:r>
      <w:r>
        <w:rPr>
          <w:spacing w:val="-83"/>
        </w:rPr>
        <w:t xml:space="preserve"> </w:t>
      </w:r>
      <w:r>
        <w:rPr>
          <w:spacing w:val="4"/>
        </w:rPr>
        <w:t>区人大常委会批准后</w:t>
      </w:r>
      <w:r>
        <w:t xml:space="preserve"> </w:t>
      </w:r>
      <w:r>
        <w:rPr>
          <w:spacing w:val="1"/>
        </w:rPr>
        <w:t>实施。同时，主动接受人大审查监督。政府投资计划确需调整的，</w:t>
      </w:r>
      <w:r>
        <w:rPr>
          <w:spacing w:val="11"/>
        </w:rPr>
        <w:t xml:space="preserve"> </w:t>
      </w:r>
      <w:r>
        <w:rPr>
          <w:spacing w:val="7"/>
        </w:rPr>
        <w:t>按原决策程序调整。</w:t>
      </w:r>
    </w:p>
    <w:p w14:paraId="61E44802">
      <w:pPr>
        <w:pStyle w:val="2"/>
        <w:spacing w:before="49" w:line="315" w:lineRule="auto"/>
        <w:ind w:left="13" w:right="81" w:firstLine="635"/>
      </w:pPr>
      <w:r>
        <w:rPr>
          <w:rFonts w:ascii="黑体" w:hAnsi="黑体" w:eastAsia="黑体" w:cs="黑体"/>
          <w:spacing w:val="9"/>
        </w:rPr>
        <w:t xml:space="preserve">第二十一条  </w:t>
      </w:r>
      <w:r>
        <w:rPr>
          <w:spacing w:val="9"/>
        </w:rPr>
        <w:t>政府投资年度计划应当明确项目名称、建设内</w:t>
      </w:r>
      <w:r>
        <w:rPr>
          <w:spacing w:val="1"/>
        </w:rPr>
        <w:t xml:space="preserve"> </w:t>
      </w:r>
      <w:r>
        <w:rPr>
          <w:spacing w:val="9"/>
        </w:rPr>
        <w:t>容、建设工期、项目总投资、年度投资额及资金来</w:t>
      </w:r>
      <w:r>
        <w:rPr>
          <w:spacing w:val="8"/>
        </w:rPr>
        <w:t>源等事项。</w:t>
      </w:r>
    </w:p>
    <w:p w14:paraId="0E41FB67">
      <w:pPr>
        <w:pStyle w:val="2"/>
        <w:spacing w:before="64" w:line="323" w:lineRule="auto"/>
        <w:ind w:left="11" w:right="79" w:firstLine="638"/>
      </w:pPr>
      <w:r>
        <w:rPr>
          <w:rFonts w:ascii="黑体" w:hAnsi="黑体" w:eastAsia="黑体" w:cs="黑体"/>
          <w:spacing w:val="21"/>
        </w:rPr>
        <w:t xml:space="preserve">第二十二条  </w:t>
      </w:r>
      <w:r>
        <w:rPr>
          <w:spacing w:val="21"/>
        </w:rPr>
        <w:t>投资主管部门或者其他有关部门应当按照政</w:t>
      </w:r>
      <w:r>
        <w:rPr>
          <w:spacing w:val="10"/>
        </w:rPr>
        <w:t xml:space="preserve"> </w:t>
      </w:r>
      <w:r>
        <w:rPr>
          <w:spacing w:val="20"/>
        </w:rPr>
        <w:t>府投资年度计划,根据项目审批手续和工程建设进度,安排政府</w:t>
      </w:r>
      <w:r>
        <w:rPr>
          <w:spacing w:val="11"/>
        </w:rPr>
        <w:t xml:space="preserve"> </w:t>
      </w:r>
      <w:r>
        <w:rPr>
          <w:spacing w:val="-5"/>
        </w:rPr>
        <w:t>投资资金。</w:t>
      </w:r>
    </w:p>
    <w:p w14:paraId="42E97C30">
      <w:pPr>
        <w:spacing w:line="323" w:lineRule="auto"/>
        <w:sectPr>
          <w:footerReference r:id="rId11" w:type="default"/>
          <w:pgSz w:w="11906" w:h="16838"/>
          <w:pgMar w:top="1431" w:right="1391" w:bottom="1141" w:left="1477" w:header="0" w:footer="863" w:gutter="0"/>
          <w:cols w:space="720" w:num="1"/>
        </w:sectPr>
      </w:pPr>
    </w:p>
    <w:p w14:paraId="22EC2E3A">
      <w:pPr>
        <w:pStyle w:val="2"/>
        <w:spacing w:before="185" w:line="221" w:lineRule="auto"/>
        <w:ind w:left="648"/>
      </w:pPr>
      <w:r>
        <w:rPr>
          <w:spacing w:val="1"/>
        </w:rPr>
        <w:t>项目应当符合下列条件：</w:t>
      </w:r>
    </w:p>
    <w:p w14:paraId="0AE96E8B">
      <w:pPr>
        <w:pStyle w:val="2"/>
        <w:spacing w:before="186" w:line="297" w:lineRule="auto"/>
        <w:ind w:left="6" w:right="2" w:firstLine="630"/>
      </w:pPr>
      <w:r>
        <w:rPr>
          <w:spacing w:val="6"/>
        </w:rPr>
        <w:t>（</w:t>
      </w:r>
      <w:r>
        <w:rPr>
          <w:spacing w:val="-62"/>
        </w:rPr>
        <w:t xml:space="preserve"> </w:t>
      </w:r>
      <w:r>
        <w:rPr>
          <w:spacing w:val="6"/>
        </w:rPr>
        <w:t>一）采取直接投资方式、资本金注入方式的，可行性研究</w:t>
      </w:r>
      <w:r>
        <w:t xml:space="preserve"> </w:t>
      </w:r>
      <w:r>
        <w:rPr>
          <w:spacing w:val="9"/>
        </w:rPr>
        <w:t>报告已经批准或者投资概算已经核定，其中专项资金分解经区政</w:t>
      </w:r>
      <w:r>
        <w:rPr>
          <w:spacing w:val="7"/>
        </w:rPr>
        <w:t xml:space="preserve"> </w:t>
      </w:r>
      <w:r>
        <w:rPr>
          <w:spacing w:val="6"/>
        </w:rPr>
        <w:t>府批准后实施；</w:t>
      </w:r>
    </w:p>
    <w:p w14:paraId="67EECA6C">
      <w:pPr>
        <w:pStyle w:val="2"/>
        <w:spacing w:before="181" w:line="279" w:lineRule="auto"/>
        <w:ind w:left="7" w:right="2" w:firstLine="629"/>
      </w:pPr>
      <w:r>
        <w:rPr>
          <w:spacing w:val="4"/>
        </w:rPr>
        <w:t>（二</w:t>
      </w:r>
      <w:r>
        <w:rPr>
          <w:spacing w:val="-84"/>
        </w:rPr>
        <w:t xml:space="preserve"> </w:t>
      </w:r>
      <w:r>
        <w:rPr>
          <w:spacing w:val="4"/>
        </w:rPr>
        <w:t>）采取投资补助、贷款贴息等方式的，</w:t>
      </w:r>
      <w:r>
        <w:rPr>
          <w:spacing w:val="-76"/>
        </w:rPr>
        <w:t xml:space="preserve"> </w:t>
      </w:r>
      <w:r>
        <w:rPr>
          <w:spacing w:val="4"/>
        </w:rPr>
        <w:t>已经</w:t>
      </w:r>
      <w:r>
        <w:rPr>
          <w:spacing w:val="3"/>
        </w:rPr>
        <w:t>按照有关规</w:t>
      </w:r>
      <w:r>
        <w:t xml:space="preserve"> </w:t>
      </w:r>
      <w:r>
        <w:rPr>
          <w:spacing w:val="9"/>
        </w:rPr>
        <w:t>定办理手续，其中专项资金分解经区政府批准</w:t>
      </w:r>
      <w:r>
        <w:rPr>
          <w:spacing w:val="8"/>
        </w:rPr>
        <w:t>后实施；</w:t>
      </w:r>
    </w:p>
    <w:p w14:paraId="68E901A2">
      <w:pPr>
        <w:pStyle w:val="2"/>
        <w:spacing w:before="188" w:line="221" w:lineRule="auto"/>
        <w:ind w:left="636"/>
      </w:pPr>
      <w:r>
        <w:rPr>
          <w:spacing w:val="7"/>
        </w:rPr>
        <w:t>（三）符合前期费使用要求等本区规定的其他条件。</w:t>
      </w:r>
    </w:p>
    <w:p w14:paraId="3023D649">
      <w:pPr>
        <w:pStyle w:val="2"/>
        <w:spacing w:before="186" w:line="226" w:lineRule="auto"/>
        <w:ind w:left="644"/>
      </w:pPr>
      <w:r>
        <w:rPr>
          <w:rFonts w:ascii="黑体" w:hAnsi="黑体" w:eastAsia="黑体" w:cs="黑体"/>
          <w:spacing w:val="7"/>
        </w:rPr>
        <w:t xml:space="preserve">第二十三条  </w:t>
      </w:r>
      <w:r>
        <w:rPr>
          <w:spacing w:val="7"/>
        </w:rPr>
        <w:t>政府投资年度计划应当和本级预算相衔接。</w:t>
      </w:r>
    </w:p>
    <w:p w14:paraId="3249FC9B">
      <w:pPr>
        <w:pStyle w:val="2"/>
        <w:spacing w:before="181" w:line="316" w:lineRule="auto"/>
        <w:ind w:left="7" w:right="1" w:firstLine="636"/>
      </w:pPr>
      <w:r>
        <w:rPr>
          <w:rFonts w:ascii="黑体" w:hAnsi="黑体" w:eastAsia="黑体" w:cs="黑体"/>
          <w:spacing w:val="21"/>
        </w:rPr>
        <w:t xml:space="preserve">第二十四条  </w:t>
      </w:r>
      <w:r>
        <w:rPr>
          <w:spacing w:val="21"/>
        </w:rPr>
        <w:t>项目单位应当按照财政预算管理有关要求做</w:t>
      </w:r>
      <w:r>
        <w:rPr>
          <w:spacing w:val="7"/>
        </w:rPr>
        <w:t xml:space="preserve"> </w:t>
      </w:r>
      <w:r>
        <w:rPr>
          <w:spacing w:val="2"/>
        </w:rPr>
        <w:t>好资金拨付基础工作。</w:t>
      </w:r>
    </w:p>
    <w:p w14:paraId="6FCDB356">
      <w:pPr>
        <w:pStyle w:val="2"/>
        <w:spacing w:before="60" w:line="318" w:lineRule="auto"/>
        <w:ind w:left="7" w:firstLine="640"/>
      </w:pPr>
      <w:r>
        <w:rPr>
          <w:spacing w:val="9"/>
        </w:rPr>
        <w:t>财政部门应当根据批准的预算，按照法律法规和财政资金管</w:t>
      </w:r>
      <w:r>
        <w:rPr>
          <w:spacing w:val="6"/>
        </w:rPr>
        <w:t xml:space="preserve"> </w:t>
      </w:r>
      <w:r>
        <w:rPr>
          <w:spacing w:val="7"/>
        </w:rPr>
        <w:t>理有关规定，及时、足额办理政府投资资金拨付。</w:t>
      </w:r>
    </w:p>
    <w:p w14:paraId="504A75A4">
      <w:pPr>
        <w:spacing w:line="253" w:lineRule="auto"/>
        <w:rPr>
          <w:rFonts w:ascii="Arial"/>
          <w:sz w:val="21"/>
        </w:rPr>
      </w:pPr>
    </w:p>
    <w:p w14:paraId="21E2BEE2">
      <w:pPr>
        <w:spacing w:line="253" w:lineRule="auto"/>
        <w:rPr>
          <w:rFonts w:ascii="Arial"/>
          <w:sz w:val="21"/>
        </w:rPr>
      </w:pPr>
    </w:p>
    <w:p w14:paraId="3F06DBAF">
      <w:pPr>
        <w:spacing w:before="100" w:line="227" w:lineRule="auto"/>
        <w:ind w:left="25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第五章  政府投资项目实施</w:t>
      </w:r>
    </w:p>
    <w:p w14:paraId="1BCD5774">
      <w:pPr>
        <w:pStyle w:val="2"/>
        <w:spacing w:before="177" w:line="324" w:lineRule="auto"/>
        <w:ind w:left="1" w:right="2" w:firstLine="643"/>
      </w:pPr>
      <w:r>
        <w:rPr>
          <w:rFonts w:ascii="黑体" w:hAnsi="黑体" w:eastAsia="黑体" w:cs="黑体"/>
          <w:spacing w:val="14"/>
        </w:rPr>
        <w:t xml:space="preserve">第二十五条  </w:t>
      </w:r>
      <w:r>
        <w:rPr>
          <w:spacing w:val="14"/>
        </w:rPr>
        <w:t>政府投资项目开工建设,应当符合有关法律、</w:t>
      </w:r>
      <w:r>
        <w:rPr>
          <w:spacing w:val="4"/>
        </w:rPr>
        <w:t xml:space="preserve"> </w:t>
      </w:r>
      <w:r>
        <w:rPr>
          <w:spacing w:val="9"/>
        </w:rPr>
        <w:t>行政法规规定的建设条件；不符合规定的建设条件的，不得开工</w:t>
      </w:r>
      <w:r>
        <w:rPr>
          <w:spacing w:val="13"/>
        </w:rPr>
        <w:t xml:space="preserve"> </w:t>
      </w:r>
      <w:r>
        <w:rPr>
          <w:spacing w:val="2"/>
        </w:rPr>
        <w:t>建设。</w:t>
      </w:r>
    </w:p>
    <w:p w14:paraId="6AB4F9AF">
      <w:pPr>
        <w:pStyle w:val="2"/>
        <w:spacing w:before="49" w:line="322" w:lineRule="auto"/>
        <w:ind w:left="13" w:right="2" w:firstLine="630"/>
        <w:jc w:val="both"/>
      </w:pPr>
      <w:r>
        <w:rPr>
          <w:rFonts w:ascii="黑体" w:hAnsi="黑体" w:eastAsia="黑体" w:cs="黑体"/>
          <w:spacing w:val="9"/>
        </w:rPr>
        <w:t xml:space="preserve">第二十六条  </w:t>
      </w:r>
      <w:r>
        <w:rPr>
          <w:spacing w:val="9"/>
        </w:rPr>
        <w:t>政府投资项目应当按照批准的建设地点、建设</w:t>
      </w:r>
      <w:r>
        <w:t xml:space="preserve"> </w:t>
      </w:r>
      <w:r>
        <w:rPr>
          <w:spacing w:val="9"/>
        </w:rPr>
        <w:t>规模和建设内容实施；拟变更建设地点或者拟对建设规模、建设</w:t>
      </w:r>
      <w:r>
        <w:t xml:space="preserve"> </w:t>
      </w:r>
      <w:r>
        <w:rPr>
          <w:spacing w:val="8"/>
        </w:rPr>
        <w:t>内容等作较大变更的，应当按照规定程序报原审批部门审批。</w:t>
      </w:r>
    </w:p>
    <w:p w14:paraId="186AD722">
      <w:pPr>
        <w:pStyle w:val="2"/>
        <w:spacing w:before="57" w:line="323" w:lineRule="auto"/>
        <w:ind w:firstLine="644"/>
        <w:jc w:val="both"/>
      </w:pPr>
      <w:r>
        <w:rPr>
          <w:rFonts w:ascii="黑体" w:hAnsi="黑体" w:eastAsia="黑体" w:cs="黑体"/>
          <w:spacing w:val="9"/>
        </w:rPr>
        <w:t xml:space="preserve">第二十七条  </w:t>
      </w:r>
      <w:r>
        <w:rPr>
          <w:spacing w:val="9"/>
        </w:rPr>
        <w:t>项目单位应当落实主体责任，加强项目成</w:t>
      </w:r>
      <w:r>
        <w:rPr>
          <w:spacing w:val="8"/>
        </w:rPr>
        <w:t>本全</w:t>
      </w:r>
      <w:r>
        <w:t xml:space="preserve"> </w:t>
      </w:r>
      <w:r>
        <w:rPr>
          <w:spacing w:val="9"/>
        </w:rPr>
        <w:t>周期管控，严格执行基本建设程序，严格把控功能需求与建设规</w:t>
      </w:r>
      <w:r>
        <w:rPr>
          <w:spacing w:val="16"/>
        </w:rPr>
        <w:t xml:space="preserve"> </w:t>
      </w:r>
      <w:r>
        <w:rPr>
          <w:spacing w:val="8"/>
        </w:rPr>
        <w:t>模，严格履行安全生产相关责任。</w:t>
      </w:r>
    </w:p>
    <w:p w14:paraId="6DC3CDDD">
      <w:pPr>
        <w:pStyle w:val="2"/>
        <w:spacing w:before="54" w:line="226" w:lineRule="auto"/>
        <w:jc w:val="right"/>
      </w:pPr>
      <w:r>
        <w:rPr>
          <w:rFonts w:ascii="黑体" w:hAnsi="黑体" w:eastAsia="黑体" w:cs="黑体"/>
          <w:spacing w:val="21"/>
        </w:rPr>
        <w:t xml:space="preserve">第二十八条  </w:t>
      </w:r>
      <w:r>
        <w:rPr>
          <w:spacing w:val="21"/>
        </w:rPr>
        <w:t>政府投资项目所需资金应当按照国家及本市</w:t>
      </w:r>
    </w:p>
    <w:p w14:paraId="770C4C9F">
      <w:pPr>
        <w:spacing w:line="226" w:lineRule="auto"/>
        <w:sectPr>
          <w:footerReference r:id="rId12" w:type="default"/>
          <w:pgSz w:w="11906" w:h="16838"/>
          <w:pgMar w:top="1431" w:right="1473" w:bottom="1139" w:left="1482" w:header="0" w:footer="863" w:gutter="0"/>
          <w:cols w:space="720" w:num="1"/>
        </w:sectPr>
      </w:pPr>
    </w:p>
    <w:p w14:paraId="1DD6D61F">
      <w:pPr>
        <w:pStyle w:val="2"/>
        <w:spacing w:before="185" w:line="221" w:lineRule="auto"/>
        <w:ind w:left="11"/>
      </w:pPr>
      <w:r>
        <w:rPr>
          <w:spacing w:val="2"/>
        </w:rPr>
        <w:t>有关规定确保落实到位。</w:t>
      </w:r>
    </w:p>
    <w:p w14:paraId="2DD73B1D">
      <w:pPr>
        <w:pStyle w:val="2"/>
        <w:spacing w:before="188" w:line="221" w:lineRule="auto"/>
        <w:jc w:val="right"/>
      </w:pPr>
      <w:r>
        <w:rPr>
          <w:spacing w:val="-14"/>
        </w:rPr>
        <w:t>政府投资项目不得由施工单位垫资建设，不得拖欠农民工工资。</w:t>
      </w:r>
    </w:p>
    <w:p w14:paraId="59CA757D">
      <w:pPr>
        <w:pStyle w:val="2"/>
        <w:spacing w:before="187" w:line="317" w:lineRule="auto"/>
        <w:ind w:left="7" w:right="1" w:firstLine="636"/>
      </w:pPr>
      <w:r>
        <w:rPr>
          <w:rFonts w:ascii="黑体" w:hAnsi="黑体" w:eastAsia="黑体" w:cs="黑体"/>
          <w:spacing w:val="21"/>
        </w:rPr>
        <w:t xml:space="preserve">第二十九条  </w:t>
      </w:r>
      <w:r>
        <w:rPr>
          <w:spacing w:val="21"/>
        </w:rPr>
        <w:t>政府投资项目建设投资原则上不得超过经核</w:t>
      </w:r>
      <w:r>
        <w:rPr>
          <w:spacing w:val="8"/>
        </w:rPr>
        <w:t xml:space="preserve"> </w:t>
      </w:r>
      <w:r>
        <w:rPr>
          <w:spacing w:val="1"/>
        </w:rPr>
        <w:t>定的投资概算。</w:t>
      </w:r>
    </w:p>
    <w:p w14:paraId="57A6BEB5">
      <w:pPr>
        <w:pStyle w:val="2"/>
        <w:spacing w:before="55" w:line="318" w:lineRule="auto"/>
        <w:ind w:left="12" w:right="4" w:firstLine="670"/>
      </w:pPr>
      <w:r>
        <w:rPr>
          <w:spacing w:val="8"/>
        </w:rPr>
        <w:t>因国家政策调整、价格上涨、地质条件发生重大</w:t>
      </w:r>
      <w:r>
        <w:rPr>
          <w:spacing w:val="7"/>
        </w:rPr>
        <w:t>变化等客观</w:t>
      </w:r>
      <w:r>
        <w:t xml:space="preserve"> </w:t>
      </w:r>
      <w:r>
        <w:rPr>
          <w:spacing w:val="-4"/>
        </w:rPr>
        <w:t>原因确需增加投资概算的，应当按照有关规定</w:t>
      </w:r>
      <w:r>
        <w:rPr>
          <w:spacing w:val="-5"/>
        </w:rPr>
        <w:t>严格履行变更程序。</w:t>
      </w:r>
    </w:p>
    <w:p w14:paraId="13B4B41C">
      <w:pPr>
        <w:pStyle w:val="2"/>
        <w:spacing w:before="54" w:line="323" w:lineRule="auto"/>
        <w:ind w:left="5" w:right="1" w:firstLine="645"/>
      </w:pPr>
      <w:r>
        <w:rPr>
          <w:spacing w:val="6"/>
        </w:rPr>
        <w:t>对未履行变更程序且结算超过批复投资的政府投资项目，</w:t>
      </w:r>
      <w:r>
        <w:rPr>
          <w:spacing w:val="-76"/>
        </w:rPr>
        <w:t xml:space="preserve"> </w:t>
      </w:r>
      <w:r>
        <w:rPr>
          <w:spacing w:val="6"/>
        </w:rPr>
        <w:t>由</w:t>
      </w:r>
      <w:r>
        <w:t xml:space="preserve"> </w:t>
      </w:r>
      <w:r>
        <w:rPr>
          <w:spacing w:val="9"/>
        </w:rPr>
        <w:t>区审计局组织专项审计，审计报告抄送区纪检监察部门、投资主</w:t>
      </w:r>
      <w:r>
        <w:rPr>
          <w:spacing w:val="12"/>
        </w:rPr>
        <w:t xml:space="preserve"> </w:t>
      </w:r>
      <w:r>
        <w:rPr>
          <w:spacing w:val="7"/>
        </w:rPr>
        <w:t>管部门、财政部门。</w:t>
      </w:r>
    </w:p>
    <w:p w14:paraId="1DEEC2F9">
      <w:pPr>
        <w:pStyle w:val="2"/>
        <w:spacing w:before="51" w:line="315" w:lineRule="auto"/>
        <w:ind w:left="7" w:right="1" w:firstLine="636"/>
      </w:pPr>
      <w:r>
        <w:rPr>
          <w:rFonts w:ascii="黑体" w:hAnsi="黑体" w:eastAsia="黑体" w:cs="黑体"/>
          <w:spacing w:val="21"/>
        </w:rPr>
        <w:t xml:space="preserve">第三十条  </w:t>
      </w:r>
      <w:r>
        <w:rPr>
          <w:spacing w:val="21"/>
        </w:rPr>
        <w:t>政府投资项目应当按照国家及本市有关规定合</w:t>
      </w:r>
      <w:r>
        <w:rPr>
          <w:spacing w:val="9"/>
        </w:rPr>
        <w:t xml:space="preserve"> 理确定并严格执行建设工期，任何单位和个人不得非</w:t>
      </w:r>
      <w:r>
        <w:rPr>
          <w:spacing w:val="8"/>
        </w:rPr>
        <w:t>法干预。</w:t>
      </w:r>
    </w:p>
    <w:p w14:paraId="635CFB24">
      <w:pPr>
        <w:pStyle w:val="2"/>
        <w:spacing w:before="60" w:line="316" w:lineRule="auto"/>
        <w:ind w:left="17" w:right="4" w:firstLine="627"/>
      </w:pPr>
      <w:r>
        <w:rPr>
          <w:rFonts w:ascii="黑体" w:hAnsi="黑体" w:eastAsia="黑体" w:cs="黑体"/>
          <w:spacing w:val="9"/>
        </w:rPr>
        <w:t xml:space="preserve">第三十一条  </w:t>
      </w:r>
      <w:r>
        <w:rPr>
          <w:spacing w:val="9"/>
        </w:rPr>
        <w:t>政府投资项目建成后，应当按照国家及市级有</w:t>
      </w:r>
      <w:r>
        <w:t xml:space="preserve"> </w:t>
      </w:r>
      <w:r>
        <w:rPr>
          <w:spacing w:val="-14"/>
        </w:rPr>
        <w:t>关规定进行竣工验收，并在竣工验收合格后及时办理竣工财务决算。</w:t>
      </w:r>
    </w:p>
    <w:p w14:paraId="3A10020F">
      <w:pPr>
        <w:pStyle w:val="2"/>
        <w:spacing w:before="62" w:line="222" w:lineRule="auto"/>
        <w:jc w:val="right"/>
      </w:pPr>
      <w:r>
        <w:rPr>
          <w:spacing w:val="-5"/>
        </w:rPr>
        <w:t>政府投资项目结余的财政资金，应当按照有关规定缴回国库。</w:t>
      </w:r>
    </w:p>
    <w:p w14:paraId="46EA23EE">
      <w:pPr>
        <w:pStyle w:val="2"/>
        <w:spacing w:before="183" w:line="325" w:lineRule="auto"/>
        <w:ind w:left="1" w:firstLine="643"/>
      </w:pPr>
      <w:r>
        <w:rPr>
          <w:rFonts w:ascii="黑体" w:hAnsi="黑体" w:eastAsia="黑体" w:cs="黑体"/>
          <w:spacing w:val="21"/>
        </w:rPr>
        <w:t xml:space="preserve">第三十二条  </w:t>
      </w:r>
      <w:r>
        <w:rPr>
          <w:spacing w:val="21"/>
        </w:rPr>
        <w:t>投资主管部门或者其他有关部门应当按照国</w:t>
      </w:r>
      <w:r>
        <w:rPr>
          <w:spacing w:val="10"/>
        </w:rPr>
        <w:t xml:space="preserve"> </w:t>
      </w:r>
      <w:r>
        <w:rPr>
          <w:spacing w:val="9"/>
        </w:rPr>
        <w:t>家及本市有关规定选择有代表性的已建成政府投资项目，委托中</w:t>
      </w:r>
      <w:r>
        <w:rPr>
          <w:spacing w:val="16"/>
        </w:rPr>
        <w:t xml:space="preserve"> </w:t>
      </w:r>
      <w:r>
        <w:rPr>
          <w:spacing w:val="21"/>
        </w:rPr>
        <w:t>介服务机构进行后评价。后评价应当根据项目建成后的实际效</w:t>
      </w:r>
      <w:r>
        <w:rPr>
          <w:spacing w:val="12"/>
        </w:rPr>
        <w:t xml:space="preserve"> </w:t>
      </w:r>
      <w:r>
        <w:rPr>
          <w:spacing w:val="9"/>
        </w:rPr>
        <w:t>果，对项目审批和实施进行全面评价并提出明确意见。</w:t>
      </w:r>
    </w:p>
    <w:p w14:paraId="67235D73">
      <w:pPr>
        <w:spacing w:line="257" w:lineRule="auto"/>
        <w:rPr>
          <w:rFonts w:ascii="Arial"/>
          <w:sz w:val="21"/>
        </w:rPr>
      </w:pPr>
    </w:p>
    <w:p w14:paraId="04712026">
      <w:pPr>
        <w:spacing w:line="258" w:lineRule="auto"/>
        <w:rPr>
          <w:rFonts w:ascii="Arial"/>
          <w:sz w:val="21"/>
        </w:rPr>
      </w:pPr>
    </w:p>
    <w:p w14:paraId="581072C1">
      <w:pPr>
        <w:spacing w:before="101" w:line="226" w:lineRule="auto"/>
        <w:ind w:left="32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第六章  监督管理</w:t>
      </w:r>
    </w:p>
    <w:p w14:paraId="0F970A31">
      <w:pPr>
        <w:pStyle w:val="2"/>
        <w:spacing w:before="177" w:line="323" w:lineRule="auto"/>
        <w:ind w:left="3" w:firstLine="640"/>
      </w:pPr>
      <w:r>
        <w:rPr>
          <w:rFonts w:ascii="黑体" w:hAnsi="黑体" w:eastAsia="黑体" w:cs="黑体"/>
          <w:spacing w:val="21"/>
        </w:rPr>
        <w:t xml:space="preserve">第三十三条  </w:t>
      </w:r>
      <w:r>
        <w:rPr>
          <w:spacing w:val="21"/>
        </w:rPr>
        <w:t>投资主管部门和依法对政府投资项目负有监</w:t>
      </w:r>
      <w:r>
        <w:rPr>
          <w:spacing w:val="10"/>
        </w:rPr>
        <w:t xml:space="preserve"> </w:t>
      </w:r>
      <w:r>
        <w:rPr>
          <w:spacing w:val="9"/>
        </w:rPr>
        <w:t>督管理职责的其他部门，应当采取在线监测、现场核查等方式，</w:t>
      </w:r>
      <w:r>
        <w:rPr>
          <w:spacing w:val="14"/>
        </w:rPr>
        <w:t xml:space="preserve"> </w:t>
      </w:r>
      <w:r>
        <w:rPr>
          <w:spacing w:val="6"/>
        </w:rPr>
        <w:t>加强对政府投资项目实施情况的监督检查。</w:t>
      </w:r>
    </w:p>
    <w:p w14:paraId="4CFFEFB1">
      <w:pPr>
        <w:pStyle w:val="2"/>
        <w:spacing w:before="56" w:line="221" w:lineRule="auto"/>
        <w:ind w:right="4"/>
        <w:jc w:val="right"/>
      </w:pPr>
      <w:r>
        <w:rPr>
          <w:spacing w:val="22"/>
        </w:rPr>
        <w:t>项目单位应当通过大兴区固定资产投资项目管理系统</w:t>
      </w:r>
      <w:r>
        <w:rPr>
          <w:spacing w:val="21"/>
        </w:rPr>
        <w:t>如实</w:t>
      </w:r>
    </w:p>
    <w:p w14:paraId="537AF79D">
      <w:pPr>
        <w:spacing w:line="221" w:lineRule="auto"/>
        <w:sectPr>
          <w:footerReference r:id="rId13" w:type="default"/>
          <w:pgSz w:w="11906" w:h="16838"/>
          <w:pgMar w:top="1431" w:right="1471" w:bottom="1141" w:left="1482" w:header="0" w:footer="863" w:gutter="0"/>
          <w:cols w:space="720" w:num="1"/>
        </w:sectPr>
      </w:pPr>
    </w:p>
    <w:p w14:paraId="3E5A9593">
      <w:pPr>
        <w:pStyle w:val="2"/>
        <w:spacing w:before="184" w:line="318" w:lineRule="auto"/>
        <w:ind w:right="2" w:firstLine="19"/>
      </w:pPr>
      <w:r>
        <w:rPr>
          <w:spacing w:val="9"/>
        </w:rPr>
        <w:t>报送政府投资项目前期手续、开工建设、建设进度、竣工等基本</w:t>
      </w:r>
      <w:r>
        <w:t xml:space="preserve"> </w:t>
      </w:r>
      <w:r>
        <w:rPr>
          <w:spacing w:val="5"/>
        </w:rPr>
        <w:t>信息。</w:t>
      </w:r>
    </w:p>
    <w:p w14:paraId="08777556">
      <w:pPr>
        <w:pStyle w:val="2"/>
        <w:spacing w:before="52" w:line="326" w:lineRule="auto"/>
        <w:ind w:left="9" w:firstLine="640"/>
        <w:jc w:val="both"/>
      </w:pPr>
      <w:r>
        <w:rPr>
          <w:rFonts w:ascii="黑体" w:hAnsi="黑体" w:eastAsia="黑体" w:cs="黑体"/>
          <w:spacing w:val="21"/>
        </w:rPr>
        <w:t xml:space="preserve">第三十四条  </w:t>
      </w:r>
      <w:r>
        <w:rPr>
          <w:spacing w:val="21"/>
        </w:rPr>
        <w:t>投资主管部门和依法对政府投资项目负有监</w:t>
      </w:r>
      <w:r>
        <w:rPr>
          <w:spacing w:val="8"/>
        </w:rPr>
        <w:t xml:space="preserve"> </w:t>
      </w:r>
      <w:r>
        <w:rPr>
          <w:spacing w:val="9"/>
        </w:rPr>
        <w:t>督管理责任的其他部门，应当通过大兴区固定资产投资项目管理</w:t>
      </w:r>
      <w:r>
        <w:rPr>
          <w:spacing w:val="10"/>
        </w:rPr>
        <w:t xml:space="preserve"> </w:t>
      </w:r>
      <w:r>
        <w:rPr>
          <w:spacing w:val="9"/>
        </w:rPr>
        <w:t>系统实现信息共享并逐步完善系统功能，推动项目单位履行相应</w:t>
      </w:r>
      <w:r>
        <w:rPr>
          <w:spacing w:val="10"/>
        </w:rPr>
        <w:t xml:space="preserve"> </w:t>
      </w:r>
      <w:r>
        <w:rPr>
          <w:spacing w:val="1"/>
        </w:rPr>
        <w:t>职责。</w:t>
      </w:r>
    </w:p>
    <w:p w14:paraId="34DD158C">
      <w:pPr>
        <w:pStyle w:val="2"/>
        <w:spacing w:before="48" w:line="322" w:lineRule="auto"/>
        <w:ind w:left="7" w:firstLine="643"/>
        <w:jc w:val="both"/>
      </w:pPr>
      <w:r>
        <w:rPr>
          <w:rFonts w:ascii="黑体" w:hAnsi="黑体" w:eastAsia="黑体" w:cs="黑体"/>
          <w:spacing w:val="21"/>
        </w:rPr>
        <w:t xml:space="preserve">第三十五条  </w:t>
      </w:r>
      <w:r>
        <w:rPr>
          <w:spacing w:val="21"/>
        </w:rPr>
        <w:t>项目单位应当按照国家有关规定加强政府投</w:t>
      </w:r>
      <w:r>
        <w:rPr>
          <w:spacing w:val="8"/>
        </w:rPr>
        <w:t xml:space="preserve"> </w:t>
      </w:r>
      <w:r>
        <w:rPr>
          <w:spacing w:val="9"/>
        </w:rPr>
        <w:t>资项目档案管理，将项目审批和实施过程中的有关文件、资料存</w:t>
      </w:r>
      <w:r>
        <w:rPr>
          <w:spacing w:val="16"/>
        </w:rPr>
        <w:t xml:space="preserve"> </w:t>
      </w:r>
      <w:r>
        <w:rPr>
          <w:spacing w:val="-5"/>
        </w:rPr>
        <w:t>档备查。</w:t>
      </w:r>
    </w:p>
    <w:p w14:paraId="329C380C">
      <w:pPr>
        <w:pStyle w:val="2"/>
        <w:spacing w:before="58" w:line="224" w:lineRule="auto"/>
        <w:jc w:val="right"/>
      </w:pPr>
      <w:r>
        <w:rPr>
          <w:rFonts w:ascii="黑体" w:hAnsi="黑体" w:eastAsia="黑体" w:cs="黑体"/>
          <w:spacing w:val="21"/>
        </w:rPr>
        <w:t xml:space="preserve">第三十六条  </w:t>
      </w:r>
      <w:r>
        <w:rPr>
          <w:spacing w:val="21"/>
        </w:rPr>
        <w:t>政府投资项目审批和监督检查的信息应当依</w:t>
      </w:r>
    </w:p>
    <w:p w14:paraId="172F7621">
      <w:pPr>
        <w:pStyle w:val="2"/>
        <w:spacing w:before="185" w:line="222" w:lineRule="auto"/>
        <w:ind w:left="21"/>
      </w:pPr>
      <w:r>
        <w:rPr>
          <w:spacing w:val="-8"/>
        </w:rPr>
        <w:t>法公开。</w:t>
      </w:r>
    </w:p>
    <w:p w14:paraId="0B986E2A">
      <w:pPr>
        <w:pStyle w:val="2"/>
        <w:spacing w:before="183" w:line="323" w:lineRule="auto"/>
        <w:ind w:left="13" w:firstLine="636"/>
        <w:jc w:val="both"/>
      </w:pPr>
      <w:r>
        <w:rPr>
          <w:rFonts w:ascii="黑体" w:hAnsi="黑体" w:eastAsia="黑体" w:cs="黑体"/>
          <w:spacing w:val="21"/>
        </w:rPr>
        <w:t xml:space="preserve">第三十七条  </w:t>
      </w:r>
      <w:r>
        <w:rPr>
          <w:spacing w:val="21"/>
        </w:rPr>
        <w:t>政府投资项目的绩效管理、建设工程质量管</w:t>
      </w:r>
      <w:r>
        <w:rPr>
          <w:spacing w:val="8"/>
        </w:rPr>
        <w:t xml:space="preserve"> </w:t>
      </w:r>
      <w:r>
        <w:rPr>
          <w:spacing w:val="9"/>
        </w:rPr>
        <w:t>理、安全生产管理等事项依照有关法律、行政法规和国家及本市</w:t>
      </w:r>
      <w:r>
        <w:rPr>
          <w:spacing w:val="6"/>
        </w:rPr>
        <w:t xml:space="preserve"> </w:t>
      </w:r>
      <w:r>
        <w:rPr>
          <w:spacing w:val="1"/>
        </w:rPr>
        <w:t>有关规定执行。</w:t>
      </w:r>
    </w:p>
    <w:p w14:paraId="63C97790">
      <w:pPr>
        <w:spacing w:line="256" w:lineRule="auto"/>
        <w:rPr>
          <w:rFonts w:ascii="Arial"/>
          <w:sz w:val="21"/>
        </w:rPr>
      </w:pPr>
    </w:p>
    <w:p w14:paraId="0DEFE84A">
      <w:pPr>
        <w:spacing w:line="256" w:lineRule="auto"/>
        <w:rPr>
          <w:rFonts w:ascii="Arial"/>
          <w:sz w:val="21"/>
        </w:rPr>
      </w:pPr>
    </w:p>
    <w:p w14:paraId="23905DB8">
      <w:pPr>
        <w:spacing w:before="101" w:line="226" w:lineRule="auto"/>
        <w:ind w:left="32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第七章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5"/>
          <w:sz w:val="31"/>
          <w:szCs w:val="31"/>
        </w:rPr>
        <w:t>责任追究</w:t>
      </w:r>
    </w:p>
    <w:p w14:paraId="0BC5E3EE">
      <w:pPr>
        <w:pStyle w:val="2"/>
        <w:spacing w:before="176" w:line="317" w:lineRule="auto"/>
        <w:ind w:firstLine="650"/>
      </w:pPr>
      <w:r>
        <w:rPr>
          <w:rFonts w:ascii="黑体" w:hAnsi="黑体" w:eastAsia="黑体" w:cs="黑体"/>
          <w:spacing w:val="9"/>
        </w:rPr>
        <w:t xml:space="preserve">第三十八条  </w:t>
      </w:r>
      <w:r>
        <w:rPr>
          <w:spacing w:val="9"/>
        </w:rPr>
        <w:t>有下列情形之一的，责令改正，对负有责任的</w:t>
      </w:r>
      <w:r>
        <w:rPr>
          <w:spacing w:val="1"/>
        </w:rPr>
        <w:t xml:space="preserve"> </w:t>
      </w:r>
      <w:r>
        <w:rPr>
          <w:spacing w:val="6"/>
        </w:rPr>
        <w:t>领导人员和直接责任人员依法依规给予处分：</w:t>
      </w:r>
    </w:p>
    <w:p w14:paraId="0AE964A4">
      <w:pPr>
        <w:pStyle w:val="2"/>
        <w:spacing w:before="61" w:line="222" w:lineRule="auto"/>
        <w:ind w:left="642"/>
      </w:pPr>
      <w:r>
        <w:rPr>
          <w:spacing w:val="4"/>
        </w:rPr>
        <w:t>（</w:t>
      </w:r>
      <w:r>
        <w:rPr>
          <w:spacing w:val="-66"/>
        </w:rPr>
        <w:t xml:space="preserve"> </w:t>
      </w:r>
      <w:r>
        <w:rPr>
          <w:spacing w:val="4"/>
        </w:rPr>
        <w:t>一）超越审批权限审批政府投资项目；</w:t>
      </w:r>
    </w:p>
    <w:p w14:paraId="714797E8">
      <w:pPr>
        <w:pStyle w:val="2"/>
        <w:spacing w:before="186" w:line="221" w:lineRule="auto"/>
        <w:ind w:left="642"/>
      </w:pPr>
      <w:r>
        <w:rPr>
          <w:spacing w:val="9"/>
        </w:rPr>
        <w:t>（二）对不符合规定的政府投资项目予以批准；</w:t>
      </w:r>
    </w:p>
    <w:p w14:paraId="48B8F822">
      <w:pPr>
        <w:pStyle w:val="2"/>
        <w:spacing w:before="188" w:line="222" w:lineRule="auto"/>
        <w:ind w:right="10"/>
        <w:jc w:val="right"/>
      </w:pPr>
      <w:r>
        <w:rPr>
          <w:spacing w:val="9"/>
        </w:rPr>
        <w:t>（三）未按照规定核定或者调整政府投资项目的投资概算；</w:t>
      </w:r>
    </w:p>
    <w:p w14:paraId="277120EF">
      <w:pPr>
        <w:pStyle w:val="2"/>
        <w:spacing w:before="185" w:line="279" w:lineRule="auto"/>
        <w:ind w:left="13" w:right="2" w:firstLine="629"/>
      </w:pPr>
      <w:r>
        <w:rPr>
          <w:spacing w:val="6"/>
        </w:rPr>
        <w:t>（四</w:t>
      </w:r>
      <w:r>
        <w:rPr>
          <w:spacing w:val="-62"/>
        </w:rPr>
        <w:t xml:space="preserve"> </w:t>
      </w:r>
      <w:r>
        <w:rPr>
          <w:spacing w:val="6"/>
        </w:rPr>
        <w:t>）为不符合规定的项目安排投资补助、贷款贴息等政府</w:t>
      </w:r>
      <w:r>
        <w:t xml:space="preserve"> </w:t>
      </w:r>
      <w:r>
        <w:rPr>
          <w:spacing w:val="-8"/>
        </w:rPr>
        <w:t>投资资金；</w:t>
      </w:r>
    </w:p>
    <w:p w14:paraId="3CB36A6C">
      <w:pPr>
        <w:pStyle w:val="2"/>
        <w:spacing w:before="185" w:line="221" w:lineRule="auto"/>
        <w:ind w:right="10"/>
        <w:jc w:val="right"/>
      </w:pPr>
      <w:r>
        <w:rPr>
          <w:spacing w:val="9"/>
        </w:rPr>
        <w:t>（五）履行政府投资管理职责中其他玩忽职守、滥用职权、</w:t>
      </w:r>
    </w:p>
    <w:p w14:paraId="70B81FD5">
      <w:pPr>
        <w:spacing w:line="221" w:lineRule="auto"/>
        <w:sectPr>
          <w:footerReference r:id="rId14" w:type="default"/>
          <w:pgSz w:w="11906" w:h="16838"/>
          <w:pgMar w:top="1431" w:right="1472" w:bottom="1141" w:left="1476" w:header="0" w:footer="863" w:gutter="0"/>
          <w:cols w:space="720" w:num="1"/>
        </w:sectPr>
      </w:pPr>
    </w:p>
    <w:p w14:paraId="32C3C3A3">
      <w:pPr>
        <w:pStyle w:val="2"/>
        <w:spacing w:before="185" w:line="222" w:lineRule="auto"/>
        <w:ind w:left="8"/>
      </w:pPr>
      <w:r>
        <w:rPr>
          <w:spacing w:val="1"/>
        </w:rPr>
        <w:t>徇私舞弊的情形。</w:t>
      </w:r>
    </w:p>
    <w:p w14:paraId="407467CB">
      <w:pPr>
        <w:pStyle w:val="2"/>
        <w:spacing w:before="184" w:line="316" w:lineRule="auto"/>
        <w:ind w:left="16" w:right="97" w:firstLine="633"/>
      </w:pPr>
      <w:r>
        <w:rPr>
          <w:rFonts w:ascii="黑体" w:hAnsi="黑体" w:eastAsia="黑体" w:cs="黑体"/>
          <w:spacing w:val="9"/>
        </w:rPr>
        <w:t xml:space="preserve">第三十九条  </w:t>
      </w:r>
      <w:r>
        <w:rPr>
          <w:spacing w:val="9"/>
        </w:rPr>
        <w:t>有下列情形之一的，依照有关法律、行政法规</w:t>
      </w:r>
      <w:r>
        <w:t xml:space="preserve"> </w:t>
      </w:r>
      <w:r>
        <w:rPr>
          <w:spacing w:val="3"/>
        </w:rPr>
        <w:t>和国家有关规定追究法律责任：</w:t>
      </w:r>
    </w:p>
    <w:p w14:paraId="638D5079">
      <w:pPr>
        <w:pStyle w:val="2"/>
        <w:spacing w:before="60" w:line="221" w:lineRule="auto"/>
        <w:ind w:left="641"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一）违法违规举借债务筹措政府投资资金；</w:t>
      </w:r>
    </w:p>
    <w:p w14:paraId="23BEAC42">
      <w:pPr>
        <w:pStyle w:val="2"/>
        <w:spacing w:before="188" w:line="222" w:lineRule="auto"/>
        <w:ind w:left="641"/>
      </w:pPr>
      <w:r>
        <w:rPr>
          <w:spacing w:val="9"/>
        </w:rPr>
        <w:t>（二）未按照规定及时、足额办理政府投资资金拨付；</w:t>
      </w:r>
    </w:p>
    <w:p w14:paraId="2138D4F6">
      <w:pPr>
        <w:pStyle w:val="2"/>
        <w:spacing w:before="186" w:line="219" w:lineRule="auto"/>
        <w:ind w:left="641"/>
      </w:pPr>
      <w:r>
        <w:rPr>
          <w:spacing w:val="9"/>
        </w:rPr>
        <w:t>（三）转移、侵占、挪用政府投资资金。</w:t>
      </w:r>
    </w:p>
    <w:p w14:paraId="25892068">
      <w:pPr>
        <w:pStyle w:val="2"/>
        <w:spacing w:before="192" w:line="326" w:lineRule="auto"/>
        <w:ind w:right="95" w:firstLine="649"/>
        <w:jc w:val="both"/>
      </w:pPr>
      <w:r>
        <w:rPr>
          <w:rFonts w:ascii="黑体" w:hAnsi="黑体" w:eastAsia="黑体" w:cs="黑体"/>
          <w:spacing w:val="9"/>
        </w:rPr>
        <w:t xml:space="preserve">第四十条  </w:t>
      </w:r>
      <w:r>
        <w:rPr>
          <w:spacing w:val="9"/>
        </w:rPr>
        <w:t>项目单位有下列情形之一的，责令改正，根据具</w:t>
      </w:r>
      <w:r>
        <w:rPr>
          <w:spacing w:val="1"/>
        </w:rPr>
        <w:t xml:space="preserve"> </w:t>
      </w:r>
      <w:r>
        <w:rPr>
          <w:spacing w:val="10"/>
        </w:rPr>
        <w:t>体情况，暂停、停止拨付资金或者收回已拨</w:t>
      </w:r>
      <w:r>
        <w:rPr>
          <w:spacing w:val="9"/>
        </w:rPr>
        <w:t>付的资金，暂停或者</w:t>
      </w:r>
      <w:r>
        <w:t xml:space="preserve"> </w:t>
      </w:r>
      <w:r>
        <w:rPr>
          <w:spacing w:val="10"/>
        </w:rPr>
        <w:t>停止建设活动，对负有责任的领导人员和直接责</w:t>
      </w:r>
      <w:r>
        <w:rPr>
          <w:spacing w:val="9"/>
        </w:rPr>
        <w:t>任人员依法依规</w:t>
      </w:r>
      <w:r>
        <w:t xml:space="preserve"> </w:t>
      </w:r>
      <w:r>
        <w:rPr>
          <w:spacing w:val="-6"/>
        </w:rPr>
        <w:t>给予处分：</w:t>
      </w:r>
    </w:p>
    <w:p w14:paraId="307952E8">
      <w:pPr>
        <w:pStyle w:val="2"/>
        <w:spacing w:before="51" w:line="278" w:lineRule="auto"/>
        <w:ind w:left="22" w:right="98" w:firstLine="619"/>
      </w:pPr>
      <w:r>
        <w:rPr>
          <w:spacing w:val="6"/>
        </w:rPr>
        <w:t>（</w:t>
      </w:r>
      <w:r>
        <w:rPr>
          <w:spacing w:val="-62"/>
        </w:rPr>
        <w:t xml:space="preserve"> </w:t>
      </w:r>
      <w:r>
        <w:rPr>
          <w:spacing w:val="6"/>
        </w:rPr>
        <w:t>一）未经批准或者不符合规定的建设条件开工建设政府投</w:t>
      </w:r>
      <w:r>
        <w:t xml:space="preserve"> </w:t>
      </w:r>
      <w:r>
        <w:rPr>
          <w:spacing w:val="-11"/>
        </w:rPr>
        <w:t>资项目；</w:t>
      </w:r>
    </w:p>
    <w:p w14:paraId="36869E8C">
      <w:pPr>
        <w:pStyle w:val="2"/>
        <w:spacing w:before="183" w:line="279" w:lineRule="auto"/>
        <w:ind w:left="7" w:right="97" w:firstLine="634"/>
      </w:pPr>
      <w:r>
        <w:rPr>
          <w:spacing w:val="7"/>
        </w:rPr>
        <w:t>（二</w:t>
      </w:r>
      <w:r>
        <w:rPr>
          <w:spacing w:val="-84"/>
        </w:rPr>
        <w:t xml:space="preserve"> </w:t>
      </w:r>
      <w:r>
        <w:rPr>
          <w:spacing w:val="7"/>
        </w:rPr>
        <w:t>）弄虚作假骗取政府投资项目审批或者投资补</w:t>
      </w:r>
      <w:r>
        <w:rPr>
          <w:spacing w:val="6"/>
        </w:rPr>
        <w:t>助、贷款</w:t>
      </w:r>
      <w:r>
        <w:t xml:space="preserve"> </w:t>
      </w:r>
      <w:r>
        <w:rPr>
          <w:spacing w:val="3"/>
        </w:rPr>
        <w:t>贴息等政府投资资金；</w:t>
      </w:r>
    </w:p>
    <w:p w14:paraId="69519D37">
      <w:pPr>
        <w:pStyle w:val="2"/>
        <w:spacing w:before="184" w:line="278" w:lineRule="auto"/>
        <w:ind w:left="4" w:right="98" w:firstLine="636"/>
      </w:pPr>
      <w:r>
        <w:rPr>
          <w:spacing w:val="6"/>
        </w:rPr>
        <w:t>（三</w:t>
      </w:r>
      <w:r>
        <w:rPr>
          <w:spacing w:val="-62"/>
        </w:rPr>
        <w:t xml:space="preserve"> </w:t>
      </w:r>
      <w:r>
        <w:rPr>
          <w:spacing w:val="6"/>
        </w:rPr>
        <w:t>）未经批准变更政府投资项目的建设地点或者对建设规</w:t>
      </w:r>
      <w:r>
        <w:t xml:space="preserve"> </w:t>
      </w:r>
      <w:r>
        <w:rPr>
          <w:spacing w:val="5"/>
        </w:rPr>
        <w:t>模、建设内容等作较大变更；</w:t>
      </w:r>
    </w:p>
    <w:p w14:paraId="2D53F23A">
      <w:pPr>
        <w:pStyle w:val="2"/>
        <w:spacing w:before="189" w:line="222" w:lineRule="auto"/>
        <w:ind w:left="641"/>
      </w:pPr>
      <w:r>
        <w:rPr>
          <w:spacing w:val="8"/>
        </w:rPr>
        <w:t>（四）擅自增加投资概算；</w:t>
      </w:r>
    </w:p>
    <w:p w14:paraId="7A8B5AC4">
      <w:pPr>
        <w:pStyle w:val="2"/>
        <w:spacing w:before="187" w:line="221" w:lineRule="auto"/>
        <w:ind w:left="641"/>
      </w:pPr>
      <w:r>
        <w:rPr>
          <w:spacing w:val="9"/>
        </w:rPr>
        <w:t>（五）要求施工单位对政府投资项目垫资建设；</w:t>
      </w:r>
    </w:p>
    <w:p w14:paraId="373771F7">
      <w:pPr>
        <w:pStyle w:val="2"/>
        <w:spacing w:before="190" w:line="278" w:lineRule="auto"/>
        <w:ind w:left="14" w:right="98" w:firstLine="626"/>
      </w:pPr>
      <w:r>
        <w:rPr>
          <w:spacing w:val="7"/>
        </w:rPr>
        <w:t>（六</w:t>
      </w:r>
      <w:r>
        <w:rPr>
          <w:spacing w:val="-88"/>
        </w:rPr>
        <w:t xml:space="preserve"> </w:t>
      </w:r>
      <w:r>
        <w:rPr>
          <w:spacing w:val="7"/>
        </w:rPr>
        <w:t>）无正当理由不实施或者不按照建设工期实施已批准的</w:t>
      </w:r>
      <w:r>
        <w:t xml:space="preserve"> 政府投资项目。</w:t>
      </w:r>
    </w:p>
    <w:p w14:paraId="677A2536">
      <w:pPr>
        <w:pStyle w:val="2"/>
        <w:spacing w:before="182" w:line="326" w:lineRule="auto"/>
        <w:ind w:left="16" w:firstLine="633"/>
        <w:jc w:val="both"/>
      </w:pPr>
      <w:r>
        <w:rPr>
          <w:rFonts w:ascii="黑体" w:hAnsi="黑体" w:eastAsia="黑体" w:cs="黑体"/>
          <w:spacing w:val="21"/>
        </w:rPr>
        <w:t xml:space="preserve">第四十一条  </w:t>
      </w:r>
      <w:r>
        <w:rPr>
          <w:spacing w:val="21"/>
        </w:rPr>
        <w:t>项目单位未按照规定将政府投资项目审批和</w:t>
      </w:r>
      <w:r>
        <w:rPr>
          <w:spacing w:val="8"/>
        </w:rPr>
        <w:t xml:space="preserve"> </w:t>
      </w:r>
      <w:r>
        <w:rPr>
          <w:spacing w:val="1"/>
        </w:rPr>
        <w:t>实施过程中的有关文件、资料存档备查，或者转移、隐匿、篡改、</w:t>
      </w:r>
      <w:r>
        <w:rPr>
          <w:spacing w:val="13"/>
        </w:rPr>
        <w:t xml:space="preserve"> </w:t>
      </w:r>
      <w:r>
        <w:rPr>
          <w:spacing w:val="9"/>
        </w:rPr>
        <w:t>毁弃项目有关文件、资料的，责令改正，对负有责任的领导人员</w:t>
      </w:r>
      <w:r>
        <w:rPr>
          <w:spacing w:val="2"/>
        </w:rPr>
        <w:t xml:space="preserve"> </w:t>
      </w:r>
      <w:r>
        <w:rPr>
          <w:spacing w:val="5"/>
        </w:rPr>
        <w:t>和直接责任人员依法依规给予处分。</w:t>
      </w:r>
    </w:p>
    <w:p w14:paraId="0C6173E0">
      <w:pPr>
        <w:spacing w:line="326" w:lineRule="auto"/>
        <w:sectPr>
          <w:footerReference r:id="rId15" w:type="default"/>
          <w:pgSz w:w="11906" w:h="16838"/>
          <w:pgMar w:top="1431" w:right="1377" w:bottom="1143" w:left="1477" w:header="0" w:footer="863" w:gutter="0"/>
          <w:cols w:space="720" w:num="1"/>
        </w:sectPr>
      </w:pPr>
    </w:p>
    <w:p w14:paraId="0550C0DF">
      <w:pPr>
        <w:pStyle w:val="2"/>
        <w:spacing w:before="184" w:line="226" w:lineRule="auto"/>
        <w:jc w:val="right"/>
      </w:pPr>
      <w:r>
        <w:rPr>
          <w:rFonts w:ascii="黑体" w:hAnsi="黑体" w:eastAsia="黑体" w:cs="黑体"/>
          <w:spacing w:val="-19"/>
        </w:rPr>
        <w:t xml:space="preserve">第四十二条  </w:t>
      </w:r>
      <w:r>
        <w:rPr>
          <w:spacing w:val="-19"/>
        </w:rPr>
        <w:t>违反本办法规定，构成犯罪的</w:t>
      </w:r>
      <w:r>
        <w:rPr>
          <w:spacing w:val="-20"/>
        </w:rPr>
        <w:t>，依法追究刑事责任。</w:t>
      </w:r>
    </w:p>
    <w:p w14:paraId="424D9C78">
      <w:pPr>
        <w:spacing w:line="316" w:lineRule="auto"/>
        <w:rPr>
          <w:rFonts w:ascii="Arial"/>
          <w:sz w:val="21"/>
        </w:rPr>
      </w:pPr>
    </w:p>
    <w:p w14:paraId="00514BB7">
      <w:pPr>
        <w:spacing w:line="317" w:lineRule="auto"/>
        <w:rPr>
          <w:rFonts w:ascii="Arial"/>
          <w:sz w:val="21"/>
        </w:rPr>
      </w:pPr>
      <w:bookmarkStart w:id="0" w:name="_GoBack"/>
      <w:bookmarkEnd w:id="0"/>
    </w:p>
    <w:p w14:paraId="25B44D82">
      <w:pPr>
        <w:spacing w:before="101" w:line="227" w:lineRule="auto"/>
        <w:ind w:left="35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第八章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则</w:t>
      </w:r>
    </w:p>
    <w:p w14:paraId="599BE7C4">
      <w:pPr>
        <w:pStyle w:val="2"/>
        <w:spacing w:before="180" w:line="315" w:lineRule="auto"/>
        <w:ind w:left="34" w:right="105" w:firstLine="614"/>
      </w:pPr>
      <w:r>
        <w:rPr>
          <w:rFonts w:ascii="黑体" w:hAnsi="黑体" w:eastAsia="黑体" w:cs="黑体"/>
          <w:spacing w:val="9"/>
        </w:rPr>
        <w:t xml:space="preserve">第四十三条  </w:t>
      </w:r>
      <w:r>
        <w:rPr>
          <w:spacing w:val="9"/>
        </w:rPr>
        <w:t>本办法由投资主管部门负责解释，本区其他规</w:t>
      </w:r>
      <w:r>
        <w:rPr>
          <w:spacing w:val="1"/>
        </w:rPr>
        <w:t xml:space="preserve"> </w:t>
      </w:r>
      <w:r>
        <w:rPr>
          <w:spacing w:val="7"/>
        </w:rPr>
        <w:t>范性文件与本办法规定不一致的以本办法为准。</w:t>
      </w:r>
    </w:p>
    <w:p w14:paraId="36430A5F">
      <w:pPr>
        <w:pStyle w:val="2"/>
        <w:spacing w:before="60" w:line="225" w:lineRule="auto"/>
        <w:ind w:right="11"/>
        <w:jc w:val="right"/>
      </w:pPr>
      <w:r>
        <w:rPr>
          <w:rFonts w:ascii="黑体" w:hAnsi="黑体" w:eastAsia="黑体" w:cs="黑体"/>
          <w:spacing w:val="1"/>
        </w:rPr>
        <w:t xml:space="preserve">第四十四条  </w:t>
      </w:r>
      <w:r>
        <w:rPr>
          <w:spacing w:val="1"/>
        </w:rPr>
        <w:t>相关配套管理制度，由投资主管部门另行制定。</w:t>
      </w:r>
    </w:p>
    <w:p w14:paraId="1686DADF">
      <w:pPr>
        <w:pStyle w:val="2"/>
        <w:spacing w:before="183" w:line="323" w:lineRule="auto"/>
        <w:ind w:right="108" w:firstLine="648"/>
      </w:pPr>
      <w:r>
        <w:rPr>
          <w:rFonts w:ascii="黑体" w:hAnsi="黑体" w:eastAsia="黑体" w:cs="黑体"/>
          <w:spacing w:val="9"/>
        </w:rPr>
        <w:t xml:space="preserve">第四十五条  </w:t>
      </w:r>
      <w:r>
        <w:rPr>
          <w:spacing w:val="9"/>
        </w:rPr>
        <w:t>本办法自印发之日起施行，《北京市大兴</w:t>
      </w:r>
      <w:r>
        <w:rPr>
          <w:spacing w:val="8"/>
        </w:rPr>
        <w:t>区人</w:t>
      </w:r>
      <w:r>
        <w:t xml:space="preserve"> </w:t>
      </w:r>
      <w:r>
        <w:rPr>
          <w:spacing w:val="7"/>
        </w:rPr>
        <w:t>民政府印发关于〈大兴区政府投资管理办法</w:t>
      </w:r>
      <w:r>
        <w:rPr>
          <w:spacing w:val="6"/>
        </w:rPr>
        <w:t>（试行）</w:t>
      </w:r>
      <w:r>
        <w:rPr>
          <w:spacing w:val="-74"/>
        </w:rPr>
        <w:t xml:space="preserve"> </w:t>
      </w:r>
      <w:r>
        <w:rPr>
          <w:spacing w:val="6"/>
        </w:rPr>
        <w:t>〉的通知》</w:t>
      </w:r>
      <w:r>
        <w:t xml:space="preserve"> </w:t>
      </w:r>
      <w:r>
        <w:rPr>
          <w:spacing w:val="4"/>
        </w:rPr>
        <w:t>（京兴政发〔2005〕20</w:t>
      </w:r>
      <w:r>
        <w:rPr>
          <w:spacing w:val="-37"/>
        </w:rPr>
        <w:t xml:space="preserve"> </w:t>
      </w:r>
      <w:r>
        <w:rPr>
          <w:spacing w:val="4"/>
        </w:rPr>
        <w:t>号）同时废止。</w:t>
      </w:r>
    </w:p>
    <w:p w14:paraId="37A67174">
      <w:pPr>
        <w:spacing w:line="323" w:lineRule="auto"/>
        <w:sectPr>
          <w:footerReference r:id="rId16" w:type="default"/>
          <w:pgSz w:w="11906" w:h="16838"/>
          <w:pgMar w:top="1431" w:right="1367" w:bottom="1143" w:left="1478" w:header="0" w:footer="863" w:gutter="0"/>
          <w:cols w:space="720" w:num="1"/>
        </w:sectPr>
      </w:pPr>
    </w:p>
    <w:p w14:paraId="6CCC1CE7">
      <w:pPr>
        <w:spacing w:before="4"/>
      </w:pPr>
    </w:p>
    <w:p w14:paraId="48957CD2">
      <w:pPr>
        <w:spacing w:before="4"/>
      </w:pPr>
    </w:p>
    <w:p w14:paraId="172178D9">
      <w:pPr>
        <w:spacing w:before="4"/>
      </w:pPr>
    </w:p>
    <w:p w14:paraId="7EA850E4">
      <w:pPr>
        <w:spacing w:before="4"/>
      </w:pPr>
    </w:p>
    <w:p w14:paraId="78D5E11B">
      <w:pPr>
        <w:spacing w:before="4"/>
      </w:pPr>
    </w:p>
    <w:p w14:paraId="1C2CAD96">
      <w:pPr>
        <w:spacing w:before="4"/>
      </w:pPr>
    </w:p>
    <w:p w14:paraId="2AA43C36">
      <w:pPr>
        <w:spacing w:before="4"/>
      </w:pPr>
    </w:p>
    <w:p w14:paraId="36856D75">
      <w:pPr>
        <w:spacing w:before="4"/>
      </w:pPr>
    </w:p>
    <w:p w14:paraId="59524B5E">
      <w:pPr>
        <w:spacing w:before="4"/>
      </w:pPr>
    </w:p>
    <w:p w14:paraId="3FF1EC0B">
      <w:pPr>
        <w:spacing w:before="4"/>
      </w:pPr>
    </w:p>
    <w:p w14:paraId="1E5E68AF">
      <w:pPr>
        <w:spacing w:before="4"/>
      </w:pPr>
    </w:p>
    <w:p w14:paraId="64D9CC29">
      <w:pPr>
        <w:spacing w:before="4"/>
      </w:pPr>
    </w:p>
    <w:p w14:paraId="40B39074">
      <w:pPr>
        <w:spacing w:before="4"/>
      </w:pPr>
    </w:p>
    <w:p w14:paraId="08637FD0">
      <w:pPr>
        <w:spacing w:before="4"/>
      </w:pPr>
    </w:p>
    <w:p w14:paraId="04F5E41E">
      <w:pPr>
        <w:spacing w:before="4"/>
      </w:pPr>
    </w:p>
    <w:p w14:paraId="1B9A35C1">
      <w:pPr>
        <w:spacing w:before="4"/>
      </w:pPr>
    </w:p>
    <w:p w14:paraId="02AF0947">
      <w:pPr>
        <w:spacing w:before="4"/>
      </w:pPr>
    </w:p>
    <w:p w14:paraId="47FA902F">
      <w:pPr>
        <w:spacing w:before="4"/>
      </w:pPr>
    </w:p>
    <w:p w14:paraId="04A93EA5">
      <w:pPr>
        <w:spacing w:before="4"/>
      </w:pPr>
    </w:p>
    <w:p w14:paraId="0E97FE2C">
      <w:pPr>
        <w:spacing w:before="3"/>
      </w:pPr>
    </w:p>
    <w:p w14:paraId="0ACD2DF9">
      <w:pPr>
        <w:spacing w:before="3"/>
      </w:pPr>
    </w:p>
    <w:p w14:paraId="4A23FC20">
      <w:pPr>
        <w:spacing w:before="3"/>
      </w:pPr>
    </w:p>
    <w:p w14:paraId="73202A62">
      <w:pPr>
        <w:spacing w:before="3"/>
      </w:pPr>
    </w:p>
    <w:p w14:paraId="502E9F88">
      <w:pPr>
        <w:spacing w:before="3"/>
      </w:pPr>
    </w:p>
    <w:p w14:paraId="130860E7">
      <w:pPr>
        <w:spacing w:before="3"/>
      </w:pPr>
    </w:p>
    <w:p w14:paraId="64DA8F54">
      <w:pPr>
        <w:spacing w:before="3"/>
      </w:pPr>
    </w:p>
    <w:p w14:paraId="274D3448">
      <w:pPr>
        <w:spacing w:before="3"/>
      </w:pPr>
    </w:p>
    <w:p w14:paraId="3517F6A9">
      <w:pPr>
        <w:spacing w:before="3"/>
      </w:pPr>
    </w:p>
    <w:p w14:paraId="7D2F6746">
      <w:pPr>
        <w:spacing w:before="3"/>
      </w:pPr>
    </w:p>
    <w:p w14:paraId="738CB1D2">
      <w:pPr>
        <w:spacing w:before="3"/>
      </w:pPr>
    </w:p>
    <w:p w14:paraId="510927BE">
      <w:pPr>
        <w:spacing w:before="3"/>
      </w:pPr>
    </w:p>
    <w:p w14:paraId="1A688B82">
      <w:pPr>
        <w:spacing w:before="3"/>
      </w:pPr>
    </w:p>
    <w:p w14:paraId="3B40BBA1">
      <w:pPr>
        <w:spacing w:before="3"/>
      </w:pPr>
    </w:p>
    <w:p w14:paraId="6CC27D88">
      <w:pPr>
        <w:spacing w:before="3"/>
      </w:pPr>
    </w:p>
    <w:p w14:paraId="4133C734">
      <w:pPr>
        <w:spacing w:before="3"/>
      </w:pPr>
    </w:p>
    <w:p w14:paraId="662F80A4">
      <w:pPr>
        <w:spacing w:before="3"/>
      </w:pPr>
    </w:p>
    <w:p w14:paraId="597EBE5E">
      <w:pPr>
        <w:spacing w:before="3"/>
      </w:pPr>
    </w:p>
    <w:p w14:paraId="7375B5C6">
      <w:pPr>
        <w:spacing w:before="3"/>
      </w:pPr>
    </w:p>
    <w:p w14:paraId="5E371119">
      <w:pPr>
        <w:spacing w:before="3"/>
      </w:pPr>
    </w:p>
    <w:p w14:paraId="20F15E0D">
      <w:pPr>
        <w:spacing w:before="3"/>
      </w:pPr>
    </w:p>
    <w:p w14:paraId="347AA0DE">
      <w:pPr>
        <w:spacing w:before="3"/>
      </w:pPr>
    </w:p>
    <w:p w14:paraId="5293FDC0">
      <w:pPr>
        <w:spacing w:before="3"/>
      </w:pPr>
    </w:p>
    <w:p w14:paraId="69DF787C">
      <w:pPr>
        <w:spacing w:before="3"/>
      </w:pPr>
    </w:p>
    <w:tbl>
      <w:tblPr>
        <w:tblStyle w:val="6"/>
        <w:tblW w:w="900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2"/>
      </w:tblGrid>
      <w:tr w14:paraId="08A2DD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798" w:hRule="atLeast"/>
        </w:trPr>
        <w:tc>
          <w:tcPr>
            <w:tcW w:w="9002" w:type="dxa"/>
            <w:tcBorders>
              <w:top w:val="single" w:color="000000" w:sz="8" w:space="0"/>
              <w:bottom w:val="single" w:color="000000" w:sz="6" w:space="0"/>
            </w:tcBorders>
            <w:vAlign w:val="top"/>
          </w:tcPr>
          <w:p w14:paraId="1412AA61">
            <w:pPr>
              <w:pStyle w:val="7"/>
              <w:spacing w:before="145" w:line="360" w:lineRule="auto"/>
              <w:ind w:left="1088" w:right="333" w:hanging="843"/>
            </w:pPr>
            <w:r>
              <w:rPr>
                <w:spacing w:val="-7"/>
              </w:rPr>
              <w:t>抄送：</w:t>
            </w:r>
            <w:r>
              <w:rPr>
                <w:spacing w:val="-79"/>
              </w:rPr>
              <w:t xml:space="preserve"> </w:t>
            </w:r>
            <w:r>
              <w:rPr>
                <w:spacing w:val="-7"/>
              </w:rPr>
              <w:t>区委办公室，各部、委，</w:t>
            </w:r>
            <w:r>
              <w:rPr>
                <w:spacing w:val="-79"/>
              </w:rPr>
              <w:t xml:space="preserve"> </w:t>
            </w:r>
            <w:r>
              <w:rPr>
                <w:spacing w:val="-7"/>
              </w:rPr>
              <w:t>区人大办公室，</w:t>
            </w:r>
            <w:r>
              <w:rPr>
                <w:spacing w:val="-82"/>
              </w:rPr>
              <w:t xml:space="preserve"> </w:t>
            </w:r>
            <w:r>
              <w:rPr>
                <w:spacing w:val="-7"/>
              </w:rPr>
              <w:t>区政协</w:t>
            </w:r>
            <w:r>
              <w:rPr>
                <w:spacing w:val="-8"/>
              </w:rPr>
              <w:t>办公室，</w:t>
            </w:r>
            <w:r>
              <w:rPr>
                <w:spacing w:val="-82"/>
              </w:rPr>
              <w:t xml:space="preserve"> </w:t>
            </w:r>
            <w:r>
              <w:rPr>
                <w:spacing w:val="-8"/>
              </w:rPr>
              <w:t>区纪</w:t>
            </w:r>
            <w:r>
              <w:t xml:space="preserve"> </w:t>
            </w:r>
            <w:r>
              <w:rPr>
                <w:spacing w:val="-2"/>
              </w:rPr>
              <w:t>委区监委机关，区人民法院，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区人民检察院，临空经济区大兴</w:t>
            </w:r>
            <w:r>
              <w:t xml:space="preserve"> </w:t>
            </w:r>
            <w:r>
              <w:rPr>
                <w:spacing w:val="-3"/>
              </w:rPr>
              <w:t>片区管委会。</w:t>
            </w:r>
          </w:p>
          <w:p w14:paraId="114EA035">
            <w:pPr>
              <w:pStyle w:val="7"/>
              <w:spacing w:before="39" w:line="318" w:lineRule="auto"/>
              <w:ind w:left="1105" w:right="351" w:hanging="15"/>
            </w:pPr>
            <w:r>
              <w:t xml:space="preserve">各镇人民政府，区政府各委、办、局（公司）、中心，各街道 </w:t>
            </w:r>
            <w:r>
              <w:rPr>
                <w:spacing w:val="-13"/>
              </w:rPr>
              <w:t>办事处。</w:t>
            </w:r>
          </w:p>
        </w:tc>
      </w:tr>
      <w:tr w14:paraId="14BBC5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2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3162A7FE">
            <w:pPr>
              <w:pStyle w:val="7"/>
              <w:spacing w:before="131" w:line="217" w:lineRule="auto"/>
              <w:ind w:left="252"/>
            </w:pPr>
            <w:r>
              <w:rPr>
                <w:spacing w:val="-8"/>
              </w:rPr>
              <w:t>北京市大兴区人民政府办公室</w:t>
            </w:r>
            <w:r>
              <w:rPr>
                <w:spacing w:val="2"/>
              </w:rPr>
              <w:t xml:space="preserve">               </w:t>
            </w:r>
            <w:r>
              <w:rPr>
                <w:spacing w:val="-8"/>
              </w:rPr>
              <w:t>2024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9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14 日印发</w:t>
            </w:r>
          </w:p>
        </w:tc>
      </w:tr>
    </w:tbl>
    <w:p w14:paraId="7F0E2FBD">
      <w:pPr>
        <w:rPr>
          <w:rFonts w:ascii="Arial"/>
          <w:sz w:val="21"/>
        </w:rPr>
      </w:pPr>
    </w:p>
    <w:sectPr>
      <w:footerReference r:id="rId17" w:type="default"/>
      <w:pgSz w:w="11906" w:h="16838"/>
      <w:pgMar w:top="1431" w:right="1448" w:bottom="1143" w:left="1453" w:header="0" w:footer="8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8FA04">
    <w:pPr>
      <w:spacing w:line="177" w:lineRule="auto"/>
      <w:ind w:left="82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B02D6">
    <w:pPr>
      <w:spacing w:line="177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78E1">
    <w:pPr>
      <w:spacing w:line="177" w:lineRule="auto"/>
      <w:ind w:left="8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C9D92">
    <w:pPr>
      <w:spacing w:line="177" w:lineRule="auto"/>
      <w:ind w:left="2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D43EA"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1A03">
    <w:pPr>
      <w:spacing w:before="1" w:line="176" w:lineRule="auto"/>
      <w:ind w:left="825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823F0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F0CCE">
    <w:pPr>
      <w:spacing w:line="175" w:lineRule="auto"/>
      <w:ind w:left="82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4B004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1009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-</w:t>
    </w:r>
    <w:r>
      <w:rPr>
        <w:rFonts w:ascii="宋体" w:hAnsi="宋体" w:eastAsia="宋体" w:cs="宋体"/>
        <w:spacing w:val="1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8BB95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AA3D5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3C6D0">
    <w:pPr>
      <w:pStyle w:val="3"/>
    </w:pPr>
    <w:r>
      <w:rPr>
        <w:sz w:val="18"/>
      </w:rPr>
      <w:pict>
        <v:shape id="PowerPlusWaterMarkObject29832" o:spid="_x0000_s2049" o:spt="136" type="#_x0000_t136" style="position:absolute;left:0pt;height:60.05pt;width:527.2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4A461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4976</Words>
  <Characters>5010</Characters>
  <TotalTime>1</TotalTime>
  <ScaleCrop>false</ScaleCrop>
  <LinksUpToDate>false</LinksUpToDate>
  <CharactersWithSpaces>5318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2024-09-20T17:29:00Z</dcterms:created>
  <dc:creator>打字室</dc:creator>
  <cp:lastModifiedBy>黄奕波</cp:lastModifiedBy>
  <dcterms:modified xsi:type="dcterms:W3CDTF">2024-11-28T06:27:59Z</dcterms:modified>
  <dc:title>北京市大兴区人民政府文件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2024-11-28T14:26:37Z</vt:filetime>
  </property>
  <property fmtid="{D5CDD505-2E9C-101B-9397-08002B2CF9AE}" pid="4" name="KSOProductBuildVer">
    <vt:lpwstr>2052-12.1.0.17827</vt:lpwstr>
  </property>
  <property fmtid="{D5CDD505-2E9C-101B-9397-08002B2CF9AE}" pid="5" name="ICV">
    <vt:lpwstr>DA4A01FA58FB4E088D5EC13C4603A9FC_12</vt:lpwstr>
  </property>
</Properties>
</file>