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53" w:right="85" w:hanging="5"/>
        <w:spacing w:before="338" w:line="216" w:lineRule="auto"/>
        <w:outlineLvl w:val="0"/>
        <w:rPr>
          <w:rFonts w:ascii="SimSun" w:hAnsi="SimSun" w:eastAsia="SimSun" w:cs="SimSun"/>
          <w:sz w:val="104"/>
          <w:szCs w:val="104"/>
        </w:rPr>
      </w:pPr>
      <w:r>
        <w:rPr>
          <w:rFonts w:ascii="SimSun" w:hAnsi="SimSun" w:eastAsia="SimSun" w:cs="SimSun"/>
          <w:sz w:val="104"/>
          <w:szCs w:val="104"/>
          <w:b/>
          <w:bCs/>
          <w:color w:val="E02030"/>
          <w:spacing w:val="-68"/>
          <w:w w:val="65"/>
        </w:rPr>
        <w:t>北京市大兴区粮食和物资储备局</w:t>
      </w:r>
      <w:r>
        <w:rPr>
          <w:rFonts w:ascii="SimSun" w:hAnsi="SimSun" w:eastAsia="SimSun" w:cs="SimSun"/>
          <w:sz w:val="104"/>
          <w:szCs w:val="104"/>
          <w:color w:val="E02030"/>
          <w:spacing w:val="92"/>
        </w:rPr>
        <w:t xml:space="preserve"> </w:t>
      </w:r>
      <w:r>
        <w:rPr>
          <w:rFonts w:ascii="SimSun" w:hAnsi="SimSun" w:eastAsia="SimSun" w:cs="SimSun"/>
          <w:sz w:val="104"/>
          <w:szCs w:val="104"/>
          <w:b/>
          <w:bCs/>
          <w:color w:val="E02030"/>
          <w:spacing w:val="-76"/>
        </w:rPr>
        <w:t>北京市大兴区财政局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72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京兴发改发〔2025〕6号</w:t>
      </w:r>
    </w:p>
    <w:p>
      <w:pPr>
        <w:spacing w:before="74" w:line="60" w:lineRule="exact"/>
        <w:rPr/>
      </w:pPr>
      <w:r>
        <w:rPr>
          <w:position w:val="-1"/>
        </w:rPr>
        <w:drawing>
          <wp:inline distT="0" distB="0" distL="0" distR="0">
            <wp:extent cx="5664200" cy="3804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4200" cy="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459" w:right="1410" w:hanging="1119"/>
        <w:spacing w:before="143" w:line="24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</w:rPr>
        <w:t>北京市大兴区粮食和物资储备局</w:t>
      </w:r>
      <w:r>
        <w:rPr>
          <w:rFonts w:ascii="SimSun" w:hAnsi="SimSun" w:eastAsia="SimSun" w:cs="SimSun"/>
          <w:sz w:val="44"/>
          <w:szCs w:val="44"/>
          <w:spacing w:val="8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1"/>
        </w:rPr>
        <w:t>北京市大兴区财政局</w:t>
      </w:r>
    </w:p>
    <w:p>
      <w:pPr>
        <w:ind w:left="3110" w:right="264" w:hanging="2850"/>
        <w:spacing w:before="3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1"/>
        </w:rPr>
        <w:t>关于印发《北京市大兴区储备原粮轮换管理</w:t>
      </w:r>
      <w:r>
        <w:rPr>
          <w:rFonts w:ascii="SimSun" w:hAnsi="SimSun" w:eastAsia="SimSun" w:cs="SimSun"/>
          <w:sz w:val="44"/>
          <w:szCs w:val="44"/>
          <w:spacing w:val="15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5"/>
        </w:rPr>
        <w:t>办法》的通知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区粮食储备相关企业：</w:t>
      </w:r>
    </w:p>
    <w:p>
      <w:pPr>
        <w:ind w:left="29" w:right="36" w:firstLine="669"/>
        <w:spacing w:before="179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为加强区储备原粮的轮换管理，现将《北京市大兴区储备原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粮轮换管理办法》印发给你们，请认真遵照执行。</w:t>
      </w:r>
    </w:p>
    <w:p>
      <w:pPr>
        <w:spacing w:line="333" w:lineRule="auto"/>
        <w:sectPr>
          <w:footerReference w:type="default" r:id="rId1"/>
          <w:pgSz w:w="11900" w:h="16830"/>
          <w:pgMar w:top="1430" w:right="1470" w:bottom="1036" w:left="1509" w:header="0" w:footer="72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629"/>
        <w:spacing w:before="101" w:line="2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附件：北京市大兴区储备原粮轮换管理办法</w:t>
      </w:r>
    </w:p>
    <w:p>
      <w:pPr>
        <w:spacing w:before="57"/>
        <w:rPr/>
      </w:pPr>
      <w:r/>
    </w:p>
    <w:p>
      <w:pPr>
        <w:spacing w:before="56"/>
        <w:rPr/>
      </w:pPr>
      <w:r/>
    </w:p>
    <w:p>
      <w:pPr>
        <w:sectPr>
          <w:footerReference w:type="default" r:id="rId3"/>
          <w:pgSz w:w="11900" w:h="16830"/>
          <w:pgMar w:top="1430" w:right="1785" w:bottom="1036" w:left="1519" w:header="0" w:footer="722" w:gutter="0"/>
          <w:cols w:equalWidth="0" w:num="1">
            <w:col w:w="8596" w:space="0"/>
          </w:cols>
        </w:sectPr>
        <w:rPr/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590540</wp:posOffset>
            </wp:positionH>
            <wp:positionV relativeFrom="paragraph">
              <wp:posOffset>-721164</wp:posOffset>
            </wp:positionV>
            <wp:extent cx="1581197" cy="154299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97" cy="154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5"/>
        </w:rPr>
        <w:t>北京市大兴区粮食和物资储备局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28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203194</wp:posOffset>
            </wp:positionH>
            <wp:positionV relativeFrom="paragraph">
              <wp:posOffset>-691547</wp:posOffset>
            </wp:positionV>
            <wp:extent cx="1549384" cy="151766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84" cy="151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8"/>
        </w:rPr>
        <w:t>北京市大兴区财政局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spacing w:before="88" w:line="18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16"/>
        </w:rPr>
        <w:t>2</w:t>
      </w:r>
      <w:r>
        <w:rPr>
          <w:rFonts w:ascii="FangSong" w:hAnsi="FangSong" w:eastAsia="FangSong" w:cs="FangSong"/>
          <w:sz w:val="27"/>
          <w:szCs w:val="27"/>
          <w:spacing w:val="-5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0</w:t>
      </w:r>
      <w:r>
        <w:rPr>
          <w:rFonts w:ascii="FangSong" w:hAnsi="FangSong" w:eastAsia="FangSong" w:cs="FangSong"/>
          <w:sz w:val="27"/>
          <w:szCs w:val="27"/>
          <w:spacing w:val="-4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2</w:t>
      </w:r>
      <w:r>
        <w:rPr>
          <w:rFonts w:ascii="FangSong" w:hAnsi="FangSong" w:eastAsia="FangSong" w:cs="FangSong"/>
          <w:sz w:val="27"/>
          <w:szCs w:val="27"/>
          <w:spacing w:val="-4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5</w:t>
      </w:r>
      <w:r>
        <w:rPr>
          <w:rFonts w:ascii="FangSong" w:hAnsi="FangSong" w:eastAsia="FangSong" w:cs="FangSong"/>
          <w:sz w:val="27"/>
          <w:szCs w:val="27"/>
          <w:spacing w:val="-3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年</w:t>
      </w:r>
      <w:r>
        <w:rPr>
          <w:rFonts w:ascii="FangSong" w:hAnsi="FangSong" w:eastAsia="FangSong" w:cs="FangSong"/>
          <w:sz w:val="27"/>
          <w:szCs w:val="27"/>
          <w:spacing w:val="-4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2</w:t>
      </w:r>
      <w:r>
        <w:rPr>
          <w:rFonts w:ascii="FangSong" w:hAnsi="FangSong" w:eastAsia="FangSong" w:cs="FangSong"/>
          <w:sz w:val="27"/>
          <w:szCs w:val="27"/>
          <w:spacing w:val="-3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月</w:t>
      </w:r>
      <w:r>
        <w:rPr>
          <w:rFonts w:ascii="FangSong" w:hAnsi="FangSong" w:eastAsia="FangSong" w:cs="FangSong"/>
          <w:sz w:val="27"/>
          <w:szCs w:val="27"/>
          <w:spacing w:val="-3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1</w:t>
      </w:r>
      <w:r>
        <w:rPr>
          <w:rFonts w:ascii="FangSong" w:hAnsi="FangSong" w:eastAsia="FangSong" w:cs="FangSong"/>
          <w:sz w:val="27"/>
          <w:szCs w:val="27"/>
          <w:spacing w:val="-5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8</w:t>
      </w:r>
      <w:r>
        <w:rPr>
          <w:rFonts w:ascii="FangSong" w:hAnsi="FangSong" w:eastAsia="FangSong" w:cs="FangSong"/>
          <w:sz w:val="27"/>
          <w:szCs w:val="27"/>
          <w:spacing w:val="1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日</w:t>
      </w:r>
    </w:p>
    <w:p>
      <w:pPr>
        <w:spacing w:line="189" w:lineRule="auto"/>
        <w:sectPr>
          <w:type w:val="continuous"/>
          <w:pgSz w:w="11900" w:h="16830"/>
          <w:pgMar w:top="1430" w:right="1785" w:bottom="1036" w:left="1519" w:header="0" w:footer="722" w:gutter="0"/>
          <w:cols w:equalWidth="0" w:num="2">
            <w:col w:w="5161" w:space="100"/>
            <w:col w:w="3335" w:space="0"/>
          </w:cols>
        </w:sectPr>
        <w:rPr>
          <w:rFonts w:ascii="FangSong" w:hAnsi="FangSong" w:eastAsia="FangSong" w:cs="FangSong"/>
          <w:sz w:val="27"/>
          <w:szCs w:val="27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836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6"/>
        </w:rPr>
        <w:t>北京市大兴区储备原粮轮换管理办法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604"/>
        <w:spacing w:before="9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一、总则</w:t>
      </w:r>
    </w:p>
    <w:p>
      <w:pPr>
        <w:ind w:right="57" w:firstLine="599"/>
        <w:spacing w:before="182" w:line="3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第一条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为加强区储备原粮的轮换管理，实现轮换工作制度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化、规范化，根据《中华人民共和国粮食安全</w:t>
      </w:r>
      <w:r>
        <w:rPr>
          <w:rFonts w:ascii="FangSong" w:hAnsi="FangSong" w:eastAsia="FangSong" w:cs="FangSong"/>
          <w:sz w:val="30"/>
          <w:szCs w:val="30"/>
        </w:rPr>
        <w:t>保障法》《粮食流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通管理条例》《北京市储备粮管理办法》《北</w:t>
      </w:r>
      <w:r>
        <w:rPr>
          <w:rFonts w:ascii="FangSong" w:hAnsi="FangSong" w:eastAsia="FangSong" w:cs="FangSong"/>
          <w:sz w:val="30"/>
          <w:szCs w:val="30"/>
        </w:rPr>
        <w:t>京市市级储备粮轮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换管理办法》《北京市粮食收购(入库)和出库质量安全必检项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目(试行)》《北京市储备粮出入库管理规定》《北</w:t>
      </w:r>
      <w:r>
        <w:rPr>
          <w:rFonts w:ascii="FangSong" w:hAnsi="FangSong" w:eastAsia="FangSong" w:cs="FangSong"/>
          <w:sz w:val="30"/>
          <w:szCs w:val="30"/>
          <w:spacing w:val="11"/>
        </w:rPr>
        <w:t>京市粮食和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物资储备局市储备粮出库入库指标分配办法》等国</w:t>
      </w:r>
      <w:r>
        <w:rPr>
          <w:rFonts w:ascii="FangSong" w:hAnsi="FangSong" w:eastAsia="FangSong" w:cs="FangSong"/>
          <w:sz w:val="30"/>
          <w:szCs w:val="30"/>
        </w:rPr>
        <w:t>家及本市有关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法律法规、政策规定，制定本办法。</w:t>
      </w:r>
    </w:p>
    <w:p>
      <w:pPr>
        <w:ind w:right="99" w:firstLine="619"/>
        <w:spacing w:before="216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第二条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区储备原粮轮换，是指在储备规模不变的前提下，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以符合质量要求的新粮等量替换库存陈粮的活动。</w:t>
      </w:r>
    </w:p>
    <w:p>
      <w:pPr>
        <w:ind w:right="19" w:firstLine="639"/>
        <w:spacing w:before="163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第三条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区储备原粮轮换应当服从政府粮食调控需要，</w:t>
      </w:r>
      <w:r>
        <w:rPr>
          <w:rFonts w:ascii="FangSong" w:hAnsi="FangSong" w:eastAsia="FangSong" w:cs="FangSong"/>
          <w:sz w:val="30"/>
          <w:szCs w:val="30"/>
          <w:spacing w:val="6"/>
        </w:rPr>
        <w:t>实行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严格的计划管理。任何单位和个人不得擅自轮换。</w:t>
      </w:r>
    </w:p>
    <w:p>
      <w:pPr>
        <w:ind w:firstLine="639"/>
        <w:spacing w:before="187" w:line="30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第四条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北京市大兴区粮食和物资储备局会同北京市大兴区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财政局、中国农业发展银行北京市大兴区支行制定</w:t>
      </w:r>
      <w:r>
        <w:rPr>
          <w:rFonts w:ascii="FangSong" w:hAnsi="FangSong" w:eastAsia="FangSong" w:cs="FangSong"/>
          <w:sz w:val="30"/>
          <w:szCs w:val="30"/>
          <w:spacing w:val="1"/>
        </w:rPr>
        <w:t>本年度区储备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原粮轮换计划，报大兴区政府审批，审批通过后，组织召开区储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备原粮轮换工作会议，启动原粮轮换工作。在计划执行过程中，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可根据市场形势变化或调控需要，及时做出必要调整。</w:t>
      </w:r>
    </w:p>
    <w:p>
      <w:pPr>
        <w:ind w:right="67" w:firstLine="639"/>
        <w:spacing w:before="200" w:line="33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区储备原粮的季度、月度轮换计划由北京市大兴区粮食和物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资储备局制定并组织实施。</w:t>
      </w:r>
    </w:p>
    <w:p>
      <w:pPr>
        <w:ind w:right="30"/>
        <w:spacing w:line="220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第五条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北京市大兴区粮食和物资储备局会同北京市大</w:t>
      </w:r>
      <w:r>
        <w:rPr>
          <w:rFonts w:ascii="FangSong" w:hAnsi="FangSong" w:eastAsia="FangSong" w:cs="FangSong"/>
          <w:sz w:val="30"/>
          <w:szCs w:val="30"/>
          <w:spacing w:val="5"/>
        </w:rPr>
        <w:t>兴区</w:t>
      </w:r>
    </w:p>
    <w:p>
      <w:pPr>
        <w:spacing w:line="220" w:lineRule="auto"/>
        <w:sectPr>
          <w:footerReference w:type="default" r:id="rId6"/>
          <w:pgSz w:w="11900" w:h="16830"/>
          <w:pgMar w:top="1430" w:right="1649" w:bottom="1257" w:left="1760" w:header="0" w:footer="95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right="90"/>
        <w:spacing w:before="97" w:line="3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财政局、中国农业发展银行北京市大兴区支行</w:t>
      </w:r>
      <w:r>
        <w:rPr>
          <w:rFonts w:ascii="FangSong" w:hAnsi="FangSong" w:eastAsia="FangSong" w:cs="FangSong"/>
          <w:sz w:val="30"/>
          <w:szCs w:val="30"/>
          <w:spacing w:val="1"/>
        </w:rPr>
        <w:t>按照职责分工对区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储备原粮轮换工作开展监督检查。</w:t>
      </w:r>
    </w:p>
    <w:p>
      <w:pPr>
        <w:ind w:firstLine="624"/>
        <w:spacing w:before="4" w:line="3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第六条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区储备原粮轮换购买、销售资金由承储企业负责按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照中国农业发展银行北京市大兴区支行的有关规定统贷统还。中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国农业发展银行北京市大兴区支行按照“钱随粮走、购贷销还、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专款专用、库贷挂钩、封闭运行”的原则，及时发放和收回贷款。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区储备原粮轮换过程中发生的相关费用按照北京市大兴区储备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粮费用补贴资金使用管理办法执行，由大兴区粮</w:t>
      </w:r>
      <w:r>
        <w:rPr>
          <w:rFonts w:ascii="FangSong" w:hAnsi="FangSong" w:eastAsia="FangSong" w:cs="FangSong"/>
          <w:sz w:val="30"/>
          <w:szCs w:val="30"/>
          <w:spacing w:val="1"/>
        </w:rPr>
        <w:t>食风险基金账户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列支。</w:t>
      </w:r>
    </w:p>
    <w:p>
      <w:pPr>
        <w:ind w:right="100" w:firstLine="624"/>
        <w:spacing w:before="179" w:line="29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第七条</w:t>
      </w:r>
      <w:r>
        <w:rPr>
          <w:rFonts w:ascii="FangSong" w:hAnsi="FangSong" w:eastAsia="FangSong" w:cs="FangSong"/>
          <w:sz w:val="30"/>
          <w:szCs w:val="30"/>
          <w:spacing w:val="-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区储备原粮轮换，可以采取同品种轮换方式，也可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实行不同品种串换。除特殊情形外，轮换后口粮品种比例原则上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不低70%。</w:t>
      </w:r>
    </w:p>
    <w:p>
      <w:pPr>
        <w:ind w:right="45" w:firstLine="619"/>
        <w:spacing w:before="200" w:line="356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1"/>
        </w:rPr>
        <w:t>区储备原粮的轮换，以储存数量为根本，以储存品质为依据，</w:t>
      </w:r>
      <w:r>
        <w:rPr>
          <w:rFonts w:ascii="FangSong" w:hAnsi="FangSong" w:eastAsia="FangSong" w:cs="FangSong"/>
          <w:sz w:val="27"/>
          <w:szCs w:val="27"/>
          <w:spacing w:val="16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0"/>
        </w:rPr>
        <w:t>以储存年限为参考，同时兼顾年度间的均衡轮换。</w:t>
      </w:r>
    </w:p>
    <w:p>
      <w:pPr>
        <w:ind w:right="131" w:firstLine="619"/>
        <w:spacing w:before="2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(一)储存数量。轮换后，区储备原粮数量不得低于市级核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定我区应达储备规模。</w:t>
      </w:r>
    </w:p>
    <w:p>
      <w:pPr>
        <w:ind w:right="99" w:firstLine="619"/>
        <w:spacing w:before="169" w:line="29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(二)储存品质。依据粮油储存品质判定规则，在区储备原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粮质量安全管理和监督检查中，判定为不宜存的粮食，应及时安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排出库。</w:t>
      </w:r>
    </w:p>
    <w:p>
      <w:pPr>
        <w:ind w:right="64" w:firstLine="619"/>
        <w:spacing w:before="154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9"/>
        </w:rPr>
        <w:t>(三)储存年限。按照先入先出的原则，参考小麦5年，玉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米、稻谷3年的储存年限，到期的粮食应全部安排出库。</w:t>
      </w:r>
    </w:p>
    <w:p>
      <w:pPr>
        <w:ind w:left="619"/>
        <w:spacing w:before="18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(四)均衡轮换。为实现区储备原粮年度间轮换相对均衡的</w:t>
      </w:r>
    </w:p>
    <w:p>
      <w:pPr>
        <w:spacing w:line="219" w:lineRule="auto"/>
        <w:sectPr>
          <w:footerReference w:type="default" r:id="rId7"/>
          <w:pgSz w:w="11900" w:h="16830"/>
          <w:pgMar w:top="1430" w:right="1610" w:bottom="1281" w:left="1750" w:header="0" w:footer="92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spacing w:before="97" w:line="33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目标，避免出现“大小年”,在保证到期粮食全部轮换的前提下，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可结合实际情况，按照均衡轮换数量(以区储备原粮规模数量除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以储存年限)安排轮换。</w:t>
      </w:r>
    </w:p>
    <w:p>
      <w:pPr>
        <w:ind w:right="71" w:firstLine="590"/>
        <w:spacing w:before="1" w:line="32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(五)区储备原粮轮换架空期原则上不超过4个月；遇特殊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情况，经区政府批准并报市粮食和物资储备局备案后，可适当延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期，最长不超过6个月。</w:t>
      </w:r>
    </w:p>
    <w:p>
      <w:pPr>
        <w:ind w:firstLine="590"/>
        <w:spacing w:before="5" w:line="33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第八条区储备原粮轮换主要通过北京国家粮食交易中心及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相关网上交易平台公开竞价交易方式进行，特殊情况下，也可采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取直接收购、国内(外)定向采购、国内定向销售、邀标竞价销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售或区政府批准的其他方式进行。轮换应充分体现公开、公平、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公正原则，做到全程留痕备查，相关凭证、资料至少保留</w:t>
      </w:r>
      <w:r>
        <w:rPr>
          <w:rFonts w:ascii="FangSong" w:hAnsi="FangSong" w:eastAsia="FangSong" w:cs="FangSong"/>
          <w:sz w:val="30"/>
          <w:szCs w:val="30"/>
          <w:spacing w:val="8"/>
        </w:rPr>
        <w:t>6年。</w:t>
      </w:r>
    </w:p>
    <w:p>
      <w:pPr>
        <w:ind w:left="3634"/>
        <w:spacing w:before="1" w:line="223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二</w:t>
      </w:r>
      <w:r>
        <w:rPr>
          <w:rFonts w:ascii="SimHei" w:hAnsi="SimHei" w:eastAsia="SimHei" w:cs="SimHei"/>
          <w:sz w:val="30"/>
          <w:szCs w:val="30"/>
          <w:spacing w:val="-80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、交易</w:t>
      </w:r>
    </w:p>
    <w:p>
      <w:pPr>
        <w:ind w:firstLine="590"/>
        <w:spacing w:before="183" w:line="32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第九条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采取竞价交易方式进行轮换时，北京市大兴区粮食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和物资储备局与北京国家粮食交易中心签订委托竞价交易协议，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会同北京国家粮食交易中心拟定交易公告、细则、清单、竞价销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售合同、竞价采购合同等，确认竞价交易时间，北京国家粮食交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易中心对外发布交易公告、细则、清单等相关信息。</w:t>
      </w:r>
    </w:p>
    <w:p>
      <w:pPr>
        <w:ind w:right="69" w:firstLine="590"/>
        <w:spacing w:before="32" w:line="32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竞价交易前，北京国家粮食交易中心向北京市大兴区粮食和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物资储备局提供竞价交易价格建议。北京市大兴区粮食和物资储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备局结合竞价交易价格建议、市及其他区近期竞价交易价格、粮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油市场供需及价格变化等情况，确定交易底价。</w:t>
      </w:r>
    </w:p>
    <w:p>
      <w:pPr>
        <w:ind w:left="590"/>
        <w:spacing w:before="2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交易结束后，北京国家粮食交易中心向北京市大兴区粮食和</w:t>
      </w:r>
    </w:p>
    <w:p>
      <w:pPr>
        <w:spacing w:line="220" w:lineRule="auto"/>
        <w:sectPr>
          <w:footerReference w:type="default" r:id="rId8"/>
          <w:pgSz w:w="11900" w:h="16830"/>
          <w:pgMar w:top="1430" w:right="1649" w:bottom="1246" w:left="1750" w:header="0" w:footer="93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right="110"/>
        <w:spacing w:before="98" w:line="32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物资储备局反馈交易结果。北京市大兴区粮食和物资储备局委托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承储企业与中标企业签订竞价销售合同或竞价</w:t>
      </w:r>
      <w:r>
        <w:rPr>
          <w:rFonts w:ascii="FangSong" w:hAnsi="FangSong" w:eastAsia="FangSong" w:cs="FangSong"/>
          <w:sz w:val="30"/>
          <w:szCs w:val="30"/>
          <w:spacing w:val="1"/>
        </w:rPr>
        <w:t>采购合同，合同签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订后，向承储企业开具出、入库通知单。</w:t>
      </w:r>
    </w:p>
    <w:p>
      <w:pPr>
        <w:ind w:right="90" w:firstLine="629"/>
        <w:spacing w:before="26" w:line="32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第十条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采取其他方式进行轮换时，交易流程、交易价格等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内容依据实际情况确定，并在区储备原粮轮换工作方案中明确，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报区政府审批通过后执行。</w:t>
      </w:r>
    </w:p>
    <w:p>
      <w:pPr>
        <w:ind w:left="3624"/>
        <w:spacing w:before="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三、出库</w:t>
      </w:r>
    </w:p>
    <w:p>
      <w:pPr>
        <w:ind w:firstLine="629"/>
        <w:spacing w:before="187" w:line="30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第十一条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承储企业对承储的区储备原粮数量、质量</w:t>
      </w:r>
      <w:r>
        <w:rPr>
          <w:rFonts w:ascii="FangSong" w:hAnsi="FangSong" w:eastAsia="FangSong" w:cs="FangSong"/>
          <w:sz w:val="30"/>
          <w:szCs w:val="30"/>
          <w:spacing w:val="5"/>
        </w:rPr>
        <w:t>和储存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安全负责，须严格执行大兴区粮食和物资储备局下达的区储备原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粮出库指令。应当按照大兴区粮食和物资储备局指定的品种、数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5"/>
        </w:rPr>
        <w:t>量、质量、地点、货位、交货时限等，开展区储备原粮出库工作，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不得掺杂使假、以次充好、调换标的物，不</w:t>
      </w:r>
      <w:r>
        <w:rPr>
          <w:rFonts w:ascii="FangSong" w:hAnsi="FangSong" w:eastAsia="FangSong" w:cs="FangSong"/>
          <w:sz w:val="30"/>
          <w:szCs w:val="30"/>
          <w:spacing w:val="1"/>
        </w:rPr>
        <w:t>得拒不执行出库指令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4"/>
        </w:rPr>
        <w:t>或者阻挠出库。</w:t>
      </w:r>
    </w:p>
    <w:p>
      <w:pPr>
        <w:ind w:right="99" w:firstLine="629"/>
        <w:spacing w:before="213" w:line="3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第十二条</w:t>
      </w:r>
      <w:r>
        <w:rPr>
          <w:rFonts w:ascii="FangSong" w:hAnsi="FangSong" w:eastAsia="FangSong" w:cs="FangSong"/>
          <w:sz w:val="30"/>
          <w:szCs w:val="30"/>
          <w:spacing w:val="-2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严格执行区储备原粮出库检验制度</w:t>
      </w:r>
      <w:r>
        <w:rPr>
          <w:rFonts w:ascii="FangSong" w:hAnsi="FangSong" w:eastAsia="FangSong" w:cs="FangSong"/>
          <w:sz w:val="30"/>
          <w:szCs w:val="30"/>
          <w:spacing w:val="7"/>
        </w:rPr>
        <w:t>，出库前北京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市大兴区粮食和物资储备局委托具有资质的粮油质量检</w:t>
      </w:r>
      <w:r>
        <w:rPr>
          <w:rFonts w:ascii="FangSong" w:hAnsi="FangSong" w:eastAsia="FangSong" w:cs="FangSong"/>
          <w:sz w:val="30"/>
          <w:szCs w:val="30"/>
          <w:spacing w:val="11"/>
        </w:rPr>
        <w:t>验机构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进行检验，出库检验项目按照《北京市粮食收购(入库)和出库质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量安全必检项目(试行)》执行，检验结果作为出库质量依据，检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验报告有效期为6个月，超过有效期的，应当重新取样并委托粮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油质量安全检验机构重新检验出具检验报告。承储企业要严格落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实《粮食流通管理条例》等规定，未经质量安全检验的粮食不得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销售出库，未经处理的严重虫粮、危险虫粮不得出库，不得将不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符合食品安全标准的粮食作为食用用途出库。</w:t>
      </w:r>
    </w:p>
    <w:p>
      <w:pPr>
        <w:spacing w:line="314" w:lineRule="auto"/>
        <w:sectPr>
          <w:footerReference w:type="default" r:id="rId9"/>
          <w:pgSz w:w="11900" w:h="16830"/>
          <w:pgMar w:top="1430" w:right="1600" w:bottom="1236" w:left="1740" w:header="0" w:footer="92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right="119" w:firstLine="609"/>
        <w:spacing w:before="98" w:line="32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承储企业应当按照有关规定建立粮食质量安</w:t>
      </w:r>
      <w:r>
        <w:rPr>
          <w:rFonts w:ascii="FangSong" w:hAnsi="FangSong" w:eastAsia="FangSong" w:cs="FangSong"/>
          <w:sz w:val="30"/>
          <w:szCs w:val="30"/>
        </w:rPr>
        <w:t>全档案，粮食质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量安全档案保存期限，以粮食出库之日起，不得少于5年。</w:t>
      </w:r>
    </w:p>
    <w:p>
      <w:pPr>
        <w:ind w:firstLine="609"/>
        <w:spacing w:before="2" w:line="32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第十三条</w:t>
      </w:r>
      <w:r>
        <w:rPr>
          <w:rFonts w:ascii="FangSong" w:hAnsi="FangSong" w:eastAsia="FangSong" w:cs="FangSong"/>
          <w:sz w:val="30"/>
          <w:szCs w:val="30"/>
          <w:spacing w:val="-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区储备原粮出库实行取货制。承储企业应具备必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要的装卸能力，保持充足的装卸工人，保持机械设</w:t>
      </w:r>
      <w:r>
        <w:rPr>
          <w:rFonts w:ascii="FangSong" w:hAnsi="FangSong" w:eastAsia="FangSong" w:cs="FangSong"/>
          <w:sz w:val="30"/>
          <w:szCs w:val="30"/>
          <w:spacing w:val="-6"/>
        </w:rPr>
        <w:t>备充足、完好，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严禁因装卸能力不足迟滞区储备原粮出库进度。承储企业应当做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好粮食出库服务工作，购买区储备原粮的单位采</w:t>
      </w:r>
      <w:r>
        <w:rPr>
          <w:rFonts w:ascii="FangSong" w:hAnsi="FangSong" w:eastAsia="FangSong" w:cs="FangSong"/>
          <w:sz w:val="30"/>
          <w:szCs w:val="30"/>
          <w:spacing w:val="11"/>
        </w:rPr>
        <w:t>取汽车运输方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式，承储企业负责将粮食装上汽车，如采取铁路运输方式，承储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"/>
        </w:rPr>
        <w:t>企业应予以配合并协助办理，库内有铁路专用线的，承储企业负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责将粮食码放在专用线两旁站台上。运输粮食应当严格执行国家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粮食运输的技术规范，减少粮食运输损耗。不得使用被污染的运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输工具或者包装材料运输粮食，不得与有毒有害物质混装</w:t>
      </w:r>
      <w:r>
        <w:rPr>
          <w:rFonts w:ascii="FangSong" w:hAnsi="FangSong" w:eastAsia="FangSong" w:cs="FangSong"/>
          <w:sz w:val="30"/>
          <w:szCs w:val="30"/>
          <w:spacing w:val="3"/>
        </w:rPr>
        <w:t>运输。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承储企业不得刁难客户，不得吃拿卡要，不得违规收取费用</w:t>
      </w:r>
      <w:r>
        <w:rPr>
          <w:rFonts w:ascii="FangSong" w:hAnsi="FangSong" w:eastAsia="FangSong" w:cs="FangSong"/>
          <w:sz w:val="30"/>
          <w:szCs w:val="30"/>
        </w:rPr>
        <w:t>。不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得违规处置土粮，严禁将筛下物、机头粮、地脚粮等土粮未经整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理合格直接混入出库粮。</w:t>
      </w:r>
    </w:p>
    <w:p>
      <w:pPr>
        <w:ind w:right="80" w:firstLine="659"/>
        <w:spacing w:before="90" w:line="356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</w:rPr>
        <w:t>承储企业应在规定的时间内安排好粮食出库工作。由于承储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企业原因未能在规定时间内完成出库所造成</w:t>
      </w:r>
      <w:r>
        <w:rPr>
          <w:rFonts w:ascii="FangSong" w:hAnsi="FangSong" w:eastAsia="FangSong" w:cs="FangSong"/>
          <w:sz w:val="30"/>
          <w:szCs w:val="30"/>
        </w:rPr>
        <w:t>的损失，由承储企业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承</w:t>
      </w:r>
      <w:r>
        <w:rPr>
          <w:rFonts w:ascii="FangSong" w:hAnsi="FangSong" w:eastAsia="FangSong" w:cs="FangSong"/>
          <w:sz w:val="24"/>
          <w:szCs w:val="24"/>
          <w:spacing w:val="-1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担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。</w:t>
      </w:r>
    </w:p>
    <w:p>
      <w:pPr>
        <w:ind w:firstLine="669"/>
        <w:spacing w:before="1" w:line="32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第十四条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承储企业应当准确计量出库粮食的数量，并</w:t>
      </w:r>
      <w:r>
        <w:rPr>
          <w:rFonts w:ascii="FangSong" w:hAnsi="FangSong" w:eastAsia="FangSong" w:cs="FangSong"/>
          <w:sz w:val="30"/>
          <w:szCs w:val="30"/>
          <w:spacing w:val="5"/>
        </w:rPr>
        <w:t>制作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计量凭证，做好相关记录，严禁使用未经检定或校</w:t>
      </w:r>
      <w:r>
        <w:rPr>
          <w:rFonts w:ascii="FangSong" w:hAnsi="FangSong" w:eastAsia="FangSong" w:cs="FangSong"/>
          <w:sz w:val="30"/>
          <w:szCs w:val="30"/>
          <w:spacing w:val="-6"/>
        </w:rPr>
        <w:t>验的计量器具，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严禁利用计量器具作弊；应当如实准确完整记录粮食出库</w:t>
      </w:r>
      <w:r>
        <w:rPr>
          <w:rFonts w:ascii="FangSong" w:hAnsi="FangSong" w:eastAsia="FangSong" w:cs="FangSong"/>
          <w:sz w:val="30"/>
          <w:szCs w:val="30"/>
          <w:spacing w:val="3"/>
        </w:rPr>
        <w:t>情况，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完整保存出入库原始单据，不得伪造、篡改、损毁原始单据；应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当按规定向北京市大兴区粮食和物资储备局报告区储备原粮出</w:t>
      </w:r>
    </w:p>
    <w:p>
      <w:pPr>
        <w:spacing w:line="326" w:lineRule="auto"/>
        <w:sectPr>
          <w:footerReference w:type="default" r:id="rId10"/>
          <w:pgSz w:w="11900" w:h="16830"/>
          <w:pgMar w:top="1430" w:right="1590" w:bottom="1256" w:left="1760" w:header="0" w:footer="94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8" w:right="32" w:hanging="19"/>
        <w:spacing w:before="97" w:line="337" w:lineRule="auto"/>
        <w:jc w:val="both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库进度，及时通过北京市市级储备粮管理平台报送相关数据；应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当保持信息化监管系统正常运行，严禁无故不使用“一卡通”系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统出库。若信息化监管系统出现故障，应当在发现故障1小时内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向北京市大兴区粮食和物资储备局报备。若需要中断系统维护保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养，应当在实施维护前1小时向北京市大兴区粮食和物资储备局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报</w:t>
      </w:r>
      <w:r>
        <w:rPr>
          <w:rFonts w:ascii="FangSong" w:hAnsi="FangSong" w:eastAsia="FangSong" w:cs="FangSong"/>
          <w:sz w:val="23"/>
          <w:szCs w:val="23"/>
          <w:spacing w:val="-10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备</w:t>
      </w:r>
      <w:r>
        <w:rPr>
          <w:rFonts w:ascii="FangSong" w:hAnsi="FangSong" w:eastAsia="FangSong" w:cs="FangSong"/>
          <w:sz w:val="23"/>
          <w:szCs w:val="23"/>
          <w:spacing w:val="-25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-10"/>
        </w:rPr>
        <w:t>。</w:t>
      </w:r>
    </w:p>
    <w:p>
      <w:pPr>
        <w:ind w:left="19" w:right="24" w:firstLine="619"/>
        <w:spacing w:before="44" w:line="30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第十五条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承储企业应当遵守安全生产相关法律</w:t>
      </w:r>
      <w:r>
        <w:rPr>
          <w:rFonts w:ascii="FangSong" w:hAnsi="FangSong" w:eastAsia="FangSong" w:cs="FangSong"/>
          <w:sz w:val="30"/>
          <w:szCs w:val="30"/>
          <w:spacing w:val="6"/>
        </w:rPr>
        <w:t>法规和标准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规范，执行《粮油储存安全责任暂行规定》和《粮油安全储存守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则》《粮库安全生产守则》等规定，确保出库期间区储备原粮储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存安全和作业安全。</w:t>
      </w:r>
    </w:p>
    <w:p>
      <w:pPr>
        <w:ind w:left="19" w:right="21" w:firstLine="649"/>
        <w:spacing w:before="179" w:line="3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第十六条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出库区储备原粮的数量以北京市大兴</w:t>
      </w:r>
      <w:r>
        <w:rPr>
          <w:rFonts w:ascii="FangSong" w:hAnsi="FangSong" w:eastAsia="FangSong" w:cs="FangSong"/>
          <w:sz w:val="30"/>
          <w:szCs w:val="30"/>
          <w:spacing w:val="5"/>
        </w:rPr>
        <w:t>区粮食和物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资储备局出具的出库通知单为依据，出库时区储备原粮数量账实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差数为正数(即账面数量比实际出库数量多)时，由承</w:t>
      </w:r>
      <w:r>
        <w:rPr>
          <w:rFonts w:ascii="FangSong" w:hAnsi="FangSong" w:eastAsia="FangSong" w:cs="FangSong"/>
          <w:sz w:val="30"/>
          <w:szCs w:val="30"/>
          <w:spacing w:val="11"/>
        </w:rPr>
        <w:t>储企业按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照出库价格向购粮主体退还货款。若出现溢余粮，承储企业不得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擅自处置，须在2个工作日内，向北京市大兴区粮食和物资储备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局提交书面报告，分析研判产生溢余粮的原因。经北京市大兴区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粮食和物资储备局同意后，将溢余粮变现，返还至大兴区粮食风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险基金专户。</w:t>
      </w:r>
    </w:p>
    <w:p>
      <w:pPr>
        <w:ind w:left="19" w:firstLine="669"/>
        <w:spacing w:before="227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第十七条</w:t>
      </w:r>
      <w:r>
        <w:rPr>
          <w:rFonts w:ascii="FangSong" w:hAnsi="FangSong" w:eastAsia="FangSong" w:cs="FangSong"/>
          <w:sz w:val="30"/>
          <w:szCs w:val="30"/>
          <w:spacing w:val="-2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承储企业收到货款当日通知农发行大兴支行，偿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还原购粮贷款。如有折价，经北京市大兴区粮食和物资储备局核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算差额后，报北京市大兴区财政局，由大兴区粮食风险基金账户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拨付至承储企业；如有溢价，承储企业应将溢出粮款返还至大兴</w:t>
      </w:r>
    </w:p>
    <w:p>
      <w:pPr>
        <w:spacing w:line="299" w:lineRule="auto"/>
        <w:sectPr>
          <w:footerReference w:type="default" r:id="rId11"/>
          <w:pgSz w:w="11900" w:h="16830"/>
          <w:pgMar w:top="1430" w:right="1656" w:bottom="1237" w:left="1750" w:header="0" w:footer="93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区粮食风险基金账户。</w:t>
      </w:r>
    </w:p>
    <w:p>
      <w:pPr>
        <w:ind w:left="3614"/>
        <w:spacing w:before="154" w:line="223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四、入库</w:t>
      </w:r>
    </w:p>
    <w:p>
      <w:pPr>
        <w:ind w:right="80" w:firstLine="609"/>
        <w:spacing w:before="196" w:line="29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第十八条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轮入的区级储备粮必须是当年或上一年生产的新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粮(小麦、稻谷需为当年生产的新粮，玉米可为上一年生产的新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粮)。符合原粮国家质量标准，符合粮油储存</w:t>
      </w:r>
      <w:r>
        <w:rPr>
          <w:rFonts w:ascii="FangSong" w:hAnsi="FangSong" w:eastAsia="FangSong" w:cs="FangSong"/>
          <w:sz w:val="30"/>
          <w:szCs w:val="30"/>
          <w:spacing w:val="6"/>
        </w:rPr>
        <w:t>品质判定规则中的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宜存标准，符合食品安全相关标准。</w:t>
      </w:r>
    </w:p>
    <w:p>
      <w:pPr>
        <w:ind w:right="77" w:firstLine="609"/>
        <w:spacing w:before="206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第十九条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粮食入仓前，承储企业应当对拟装粮的仓房进行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空仓验收，提前做好清消工作，查验仓房及相关设施设备是否完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好。严禁使用不符合《北京市储备粮承储库点条件》要求的仓房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存储区储粮，严禁占用拟存储区储备原粮的仓房。空仓验收的具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体要求应按照市级有关规定执行。</w:t>
      </w:r>
    </w:p>
    <w:p>
      <w:pPr>
        <w:ind w:right="39" w:firstLine="609"/>
        <w:spacing w:before="172" w:line="30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第二十条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承储企业须严格执行北京市大兴区粮食和物资储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备局下达的区储备粮入库指令。应当按照北京市大兴区粮食和物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资储备局指定的品种、数量、质量、地点、货位、</w:t>
      </w:r>
      <w:r>
        <w:rPr>
          <w:rFonts w:ascii="FangSong" w:hAnsi="FangSong" w:eastAsia="FangSong" w:cs="FangSong"/>
          <w:sz w:val="30"/>
          <w:szCs w:val="30"/>
          <w:spacing w:val="2"/>
        </w:rPr>
        <w:t>交货时限等，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开展区储备原粮入库工作，不得掺杂使假、以次充好、调换标的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物，不得拒不执行入库指令或者阻挠入库。</w:t>
      </w:r>
    </w:p>
    <w:p>
      <w:pPr>
        <w:ind w:firstLine="609"/>
        <w:spacing w:before="199" w:line="29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第二十一条</w:t>
      </w:r>
      <w:r>
        <w:rPr>
          <w:rFonts w:ascii="FangSong" w:hAnsi="FangSong" w:eastAsia="FangSong" w:cs="FangSong"/>
          <w:sz w:val="30"/>
          <w:szCs w:val="30"/>
          <w:spacing w:val="-42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区储备原粮入库实行送货制。粮食发运到库后，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承储企业须对区储备原粮的供货单位提供的检验报告等各项材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料进行核验，不符合要求的，应予以拒收。</w:t>
      </w:r>
    </w:p>
    <w:p>
      <w:pPr>
        <w:ind w:right="87" w:firstLine="609"/>
        <w:spacing w:before="183" w:line="33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承储企业应备足装卸工人，保持机械设备充足、完好，严禁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因装卸能力不足迟滞区储备原粮入库进度。运输粮食应当严格执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行国家粮食运输的技术规范，减少粮食运输损耗。不得使用被污</w:t>
      </w:r>
    </w:p>
    <w:p>
      <w:pPr>
        <w:spacing w:line="332" w:lineRule="auto"/>
        <w:sectPr>
          <w:footerReference w:type="default" r:id="rId12"/>
          <w:pgSz w:w="11900" w:h="16830"/>
          <w:pgMar w:top="1430" w:right="1620" w:bottom="1237" w:left="1760" w:header="0" w:footer="93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right="83"/>
        <w:spacing w:before="97" w:line="336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</w:rPr>
        <w:t>染的运输工具或者包装材料运输粮食，不得与有毒有害物质混装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运输。承储企业应当及时接收供货单位发运的粮食，及时向客户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提供粮食质检、检斤单据，在规定时间内完成粮食入库工作，不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得刁难客户，不得吃拿卡要，不得违规收取费用。由于承储企业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原因未能在规定时间内完成粮食入库所造成的的损失，由承储企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30"/>
        </w:rPr>
        <w:t>业承担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30"/>
        </w:rPr>
        <w:t>。</w:t>
      </w:r>
    </w:p>
    <w:p>
      <w:pPr>
        <w:ind w:right="44" w:firstLine="639"/>
        <w:spacing w:before="66" w:line="32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承储企业应当严格遵守“限入”的相关规定，不得直接或变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相“自己入自己的库”,不得接收与本单位有经济</w:t>
      </w:r>
      <w:r>
        <w:rPr>
          <w:rFonts w:ascii="FangSong" w:hAnsi="FangSong" w:eastAsia="FangSong" w:cs="FangSong"/>
          <w:sz w:val="30"/>
          <w:szCs w:val="30"/>
          <w:spacing w:val="6"/>
        </w:rPr>
        <w:t>关联关系、行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政隶属关系、负责同志交叉任职关系的单位提供的粮源，不得参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与与入库粮食相关的交易活动等。</w:t>
      </w:r>
    </w:p>
    <w:p>
      <w:pPr>
        <w:ind w:firstLine="669"/>
        <w:spacing w:before="15" w:line="33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第二十二条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承储企业须按要求对入库粮食基础质量指标和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相关食品安全指标等进行逐车检验，所有检</w:t>
      </w:r>
      <w:r>
        <w:rPr>
          <w:rFonts w:ascii="FangSong" w:hAnsi="FangSong" w:eastAsia="FangSong" w:cs="FangSong"/>
          <w:sz w:val="30"/>
          <w:szCs w:val="30"/>
          <w:spacing w:val="1"/>
        </w:rPr>
        <w:t>验指标均合格，该车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粮食可检斤入库。如不符合入库粮食质量标准，承储企业应拒收。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对相关食品安全指标有间隔抽取样本要求的，按具体要求执行。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入库过程中，如发现食品安全指标超标情况，承储企业应立即通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知供货单位停止发运，及时上报北京市大兴区粮食和物资储备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局，并按规定配合有关部门做好超标粮食处理工作。</w:t>
      </w:r>
    </w:p>
    <w:p>
      <w:pPr>
        <w:ind w:firstLine="669"/>
        <w:spacing w:before="5" w:line="33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北京市大兴区粮食和物资储备局应当组织有资质的专业粮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食质量检验机构，在区级储备粮入库环节，开展粮食质量抽检验，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承储企业应当配合取样，并在取样单上签字确认，不得串换样品，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不得拒绝或阻挠粮食质量检验机构取样。</w:t>
      </w:r>
    </w:p>
    <w:p>
      <w:pPr>
        <w:ind w:left="669"/>
        <w:spacing w:before="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粮食收购(入库)质量安全检验项目参照《北京市粮食收购</w:t>
      </w:r>
    </w:p>
    <w:p>
      <w:pPr>
        <w:spacing w:line="220" w:lineRule="auto"/>
        <w:sectPr>
          <w:footerReference w:type="default" r:id="rId13"/>
          <w:pgSz w:w="11900" w:h="16830"/>
          <w:pgMar w:top="1430" w:right="1609" w:bottom="1236" w:left="1760" w:header="0" w:footer="92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(入库)和出库质量安全必检项目(试行)》执行。</w:t>
      </w:r>
    </w:p>
    <w:p>
      <w:pPr>
        <w:ind w:firstLine="614"/>
        <w:spacing w:before="191" w:line="3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5"/>
        </w:rPr>
        <w:t>第二十三条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承储企业应当准确计量入库粮食的数量，并制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作计量凭证，做好相关记录，严禁使用未经检定或校验的计量器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具，严禁利用计量器具作弊；应当如实准确完整记录粮食入库情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况，完整保存入库原始单据，不得伪造、篡改、损毁原始单据；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应当按规定向北京市大兴区粮食和物资储备局报告区储备原粮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入库进度，保持信息化监管系统正常运行，须在粮食入库24小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时内，将逐车质检、检斤等数据录入北京市市级储备粮管理平台，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配备“一卡通”系统的，须使用“一卡通”完成数据采集。若信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息化监管系统出现故障，应当在发现故障1小时内向北京市大兴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区粮食和物资局报备。若需要中断系统维护保养，应当在实施维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护前1小时向北京市大兴区粮食和物资局报备。入库过程中，承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储企业不得违规处置土粮，严禁将筛下物、机头粮、地脚粮等土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粮未经整理合格直接混入入库粮。</w:t>
      </w:r>
    </w:p>
    <w:p>
      <w:pPr>
        <w:ind w:firstLine="669"/>
        <w:spacing w:before="264" w:line="30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第二十四条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粮食入库结束后，承储企业应指定专门保管人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员，再次对入仓粮食的数量、质量进行核验，做好相应记录，并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对相关记载内容的完整性、真实性负责。严禁质量不合格的入库，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严禁虚报入库粮食数量。</w:t>
      </w:r>
    </w:p>
    <w:p>
      <w:pPr>
        <w:ind w:right="15" w:firstLine="699"/>
        <w:spacing w:before="195" w:line="28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第二十五条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严禁超限装粮。承储企业应严格按照有关规定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要求，及时做好监测和预判，不得超限装粮。</w:t>
      </w:r>
    </w:p>
    <w:p>
      <w:pPr>
        <w:ind w:right="15" w:firstLine="699"/>
        <w:spacing w:before="182" w:line="28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第二十六条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承储企业按照采购合同约定，结合粮食入库进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度，分批次向供货单位支付货款。每次支付前，中国农业发展银</w:t>
      </w:r>
    </w:p>
    <w:p>
      <w:pPr>
        <w:spacing w:line="280" w:lineRule="auto"/>
        <w:sectPr>
          <w:footerReference w:type="default" r:id="rId14"/>
          <w:pgSz w:w="11900" w:h="16830"/>
          <w:pgMar w:top="1430" w:right="1634" w:bottom="1227" w:left="1750" w:header="0" w:footer="929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right="148"/>
        <w:spacing w:before="98" w:line="33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行北京市大兴支行发放当次购粮贷款至承储企</w:t>
      </w:r>
      <w:r>
        <w:rPr>
          <w:rFonts w:ascii="FangSong" w:hAnsi="FangSong" w:eastAsia="FangSong" w:cs="FangSong"/>
          <w:sz w:val="30"/>
          <w:szCs w:val="30"/>
          <w:spacing w:val="1"/>
        </w:rPr>
        <w:t>业贷款专户，承储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企业于放款当日或次日向供货单位支付购粮款。入</w:t>
      </w:r>
      <w:r>
        <w:rPr>
          <w:rFonts w:ascii="FangSong" w:hAnsi="FangSong" w:eastAsia="FangSong" w:cs="FangSong"/>
          <w:sz w:val="30"/>
          <w:szCs w:val="30"/>
          <w:spacing w:val="1"/>
        </w:rPr>
        <w:t>库的粮食最终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结算以实际检斤过磅入库数量计算。</w:t>
      </w:r>
    </w:p>
    <w:p>
      <w:pPr>
        <w:ind w:right="40" w:firstLine="639"/>
        <w:spacing w:before="9" w:line="33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第二十七条</w:t>
      </w:r>
      <w:r>
        <w:rPr>
          <w:rFonts w:ascii="FangSong" w:hAnsi="FangSong" w:eastAsia="FangSong" w:cs="FangSong"/>
          <w:sz w:val="30"/>
          <w:szCs w:val="30"/>
          <w:spacing w:val="-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实行区储备原粮数量、质量验收制度。粮食入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仓完成后，承储企业应于五个工作日内完成平仓作业并向大兴区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粮食和物资储备局提出平仓检验申请，北京市大兴区粮食和物资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储备局委托专业机构对粮食数量进行核验，</w:t>
      </w:r>
      <w:r>
        <w:rPr>
          <w:rFonts w:ascii="FangSong" w:hAnsi="FangSong" w:eastAsia="FangSong" w:cs="FangSong"/>
          <w:sz w:val="30"/>
          <w:szCs w:val="30"/>
          <w:spacing w:val="1"/>
        </w:rPr>
        <w:t>组织具有资质的粮食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质量检验机构进行质量检验，数量核验、质量检验结果均合格的，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方可划转为区储备原粮。北京市大兴区粮食和</w:t>
      </w:r>
      <w:r>
        <w:rPr>
          <w:rFonts w:ascii="FangSong" w:hAnsi="FangSong" w:eastAsia="FangSong" w:cs="FangSong"/>
          <w:sz w:val="30"/>
          <w:szCs w:val="30"/>
          <w:spacing w:val="1"/>
        </w:rPr>
        <w:t>物资储备局向承储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企业下达划转通知。</w:t>
      </w:r>
    </w:p>
    <w:p>
      <w:pPr>
        <w:ind w:right="127" w:firstLine="639"/>
        <w:spacing w:before="4" w:line="32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承储企业完成划转后，需将《北京市大兴区储备原粮商务认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定书》(附件1)和《北京市大兴区区级储备原粮入库质</w:t>
      </w:r>
      <w:r>
        <w:rPr>
          <w:rFonts w:ascii="FangSong" w:hAnsi="FangSong" w:eastAsia="FangSong" w:cs="FangSong"/>
          <w:sz w:val="30"/>
          <w:szCs w:val="30"/>
          <w:spacing w:val="17"/>
        </w:rPr>
        <w:t>量情况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统计表》(附件2)报送至区大兴区粮食和物资储备</w:t>
      </w:r>
      <w:r>
        <w:rPr>
          <w:rFonts w:ascii="FangSong" w:hAnsi="FangSong" w:eastAsia="FangSong" w:cs="FangSong"/>
          <w:sz w:val="30"/>
          <w:szCs w:val="30"/>
          <w:spacing w:val="17"/>
        </w:rPr>
        <w:t>局。</w:t>
      </w:r>
    </w:p>
    <w:p>
      <w:pPr>
        <w:ind w:firstLine="644"/>
        <w:spacing w:before="1" w:line="32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"/>
        </w:rPr>
        <w:t>第二十八条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"/>
        </w:rPr>
        <w:t>承储企业应当对区储备原粮实行“专仓储存”,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在仓外显著位置悬挂或者喷涂规范的标牌或者标</w:t>
      </w:r>
      <w:r>
        <w:rPr>
          <w:rFonts w:ascii="FangSong" w:hAnsi="FangSong" w:eastAsia="FangSong" w:cs="FangSong"/>
          <w:sz w:val="30"/>
          <w:szCs w:val="30"/>
          <w:spacing w:val="1"/>
        </w:rPr>
        <w:t>识，标明储粮性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2"/>
        </w:rPr>
        <w:t>质，体现粮权所属。</w:t>
      </w:r>
    </w:p>
    <w:p>
      <w:pPr>
        <w:ind w:left="3384"/>
        <w:spacing w:before="1" w:line="220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五、责任追究</w:t>
      </w:r>
    </w:p>
    <w:p>
      <w:pPr>
        <w:ind w:right="154" w:firstLine="639"/>
        <w:spacing w:before="194" w:line="351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第二十九条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有下列行为之一的，承储企业承担全部责任，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涉及违法行为的，将移转至相关部门，由相关部门依法依规予以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处</w:t>
      </w:r>
      <w:r>
        <w:rPr>
          <w:rFonts w:ascii="FangSong" w:hAnsi="FangSong" w:eastAsia="FangSong" w:cs="FangSong"/>
          <w:sz w:val="24"/>
          <w:szCs w:val="24"/>
          <w:spacing w:val="-1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理</w:t>
      </w:r>
      <w:r>
        <w:rPr>
          <w:rFonts w:ascii="FangSong" w:hAnsi="FangSong" w:eastAsia="FangSong" w:cs="FangSong"/>
          <w:sz w:val="24"/>
          <w:szCs w:val="24"/>
          <w:spacing w:val="-3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。</w:t>
      </w:r>
    </w:p>
    <w:p>
      <w:pPr>
        <w:ind w:right="130" w:firstLine="639"/>
        <w:spacing w:line="33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1.</w:t>
      </w:r>
      <w:r>
        <w:rPr>
          <w:rFonts w:ascii="FangSong" w:hAnsi="FangSong" w:eastAsia="FangSong" w:cs="FangSong"/>
          <w:sz w:val="30"/>
          <w:szCs w:val="30"/>
          <w:spacing w:val="1"/>
        </w:rPr>
        <w:t>轮换的区储备原粮数量、质量达不到规定标准，或掺杂掺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假、以次充好的；</w:t>
      </w:r>
    </w:p>
    <w:p>
      <w:pPr>
        <w:spacing w:line="339" w:lineRule="auto"/>
        <w:sectPr>
          <w:footerReference w:type="default" r:id="rId15"/>
          <w:pgSz w:w="11900" w:h="16830"/>
          <w:pgMar w:top="1430" w:right="1549" w:bottom="1256" w:left="1750" w:header="0" w:footer="94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right="88" w:firstLine="599"/>
        <w:spacing w:before="98" w:line="2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2.</w:t>
      </w:r>
      <w:r>
        <w:rPr>
          <w:rFonts w:ascii="FangSong" w:hAnsi="FangSong" w:eastAsia="FangSong" w:cs="FangSong"/>
          <w:sz w:val="30"/>
          <w:szCs w:val="30"/>
          <w:spacing w:val="1"/>
        </w:rPr>
        <w:t>未经批准擅自轮换、串换品种、变更库点，擅自架空轮换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1"/>
        </w:rPr>
        <w:t>的；</w:t>
      </w:r>
    </w:p>
    <w:p>
      <w:pPr>
        <w:ind w:left="599"/>
        <w:spacing w:before="17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3.</w:t>
      </w:r>
      <w:r>
        <w:rPr>
          <w:rFonts w:ascii="FangSong" w:hAnsi="FangSong" w:eastAsia="FangSong" w:cs="FangSong"/>
          <w:sz w:val="30"/>
          <w:szCs w:val="30"/>
        </w:rPr>
        <w:t>未按规定使用、套取轮换资金和费用补贴的；</w:t>
      </w:r>
    </w:p>
    <w:p>
      <w:pPr>
        <w:ind w:left="599"/>
        <w:spacing w:before="16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4.</w:t>
      </w:r>
      <w:r>
        <w:rPr>
          <w:rFonts w:ascii="FangSong" w:hAnsi="FangSong" w:eastAsia="FangSong" w:cs="FangSong"/>
          <w:sz w:val="30"/>
          <w:szCs w:val="30"/>
          <w:spacing w:val="1"/>
        </w:rPr>
        <w:t>因管理不善，造成区储备原粮品质下降未到储存年限需提</w:t>
      </w:r>
    </w:p>
    <w:p>
      <w:pPr>
        <w:spacing w:before="243" w:line="2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31"/>
        </w:rPr>
        <w:t>前轮换的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31"/>
        </w:rPr>
        <w:t>。</w:t>
      </w:r>
    </w:p>
    <w:p>
      <w:pPr>
        <w:ind w:left="3594"/>
        <w:spacing w:before="174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六、附则</w:t>
      </w:r>
    </w:p>
    <w:p>
      <w:pPr>
        <w:ind w:right="83" w:firstLine="599"/>
        <w:spacing w:before="188" w:line="27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第三十条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本办法由北京市大兴区粮食和物资储备局、北京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市大兴区财政局负责制订与解释。</w:t>
      </w:r>
    </w:p>
    <w:p>
      <w:pPr>
        <w:ind w:firstLine="599"/>
        <w:spacing w:before="167" w:line="31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第三十一条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本办法自印发之日起实施。原《北京市大兴区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区级储备粮轮换管理办法》(京兴商文〔2021〕68号)、《北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京市大兴区储备原粮出入库管理规定》(京兴商发〔2022〕6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号</w:t>
      </w:r>
      <w:r>
        <w:rPr>
          <w:rFonts w:ascii="FangSong" w:hAnsi="FangSong" w:eastAsia="FangSong" w:cs="FangSong"/>
          <w:sz w:val="30"/>
          <w:szCs w:val="30"/>
          <w:spacing w:val="-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)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30"/>
        </w:rPr>
        <w:t>同时废止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30"/>
        </w:rPr>
        <w:t>。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599"/>
        <w:spacing w:before="9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附件：1.北京市大兴区储备原粮商务认定书</w:t>
      </w:r>
    </w:p>
    <w:p>
      <w:pPr>
        <w:ind w:left="1559"/>
        <w:spacing w:before="18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2.</w:t>
      </w:r>
      <w:r>
        <w:rPr>
          <w:rFonts w:ascii="FangSong" w:hAnsi="FangSong" w:eastAsia="FangSong" w:cs="FangSong"/>
          <w:sz w:val="30"/>
          <w:szCs w:val="30"/>
          <w:spacing w:val="5"/>
        </w:rPr>
        <w:t>北京市大兴区储备原粮入库质量情况统</w:t>
      </w:r>
      <w:r>
        <w:rPr>
          <w:rFonts w:ascii="FangSong" w:hAnsi="FangSong" w:eastAsia="FangSong" w:cs="FangSong"/>
          <w:sz w:val="30"/>
          <w:szCs w:val="30"/>
          <w:spacing w:val="4"/>
        </w:rPr>
        <w:t>计表</w:t>
      </w:r>
    </w:p>
    <w:p>
      <w:pPr>
        <w:spacing w:line="220" w:lineRule="auto"/>
        <w:sectPr>
          <w:footerReference w:type="default" r:id="rId16"/>
          <w:pgSz w:w="11900" w:h="16830"/>
          <w:pgMar w:top="1430" w:right="1613" w:bottom="1254" w:left="1760" w:header="0" w:footer="92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205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24"/>
          <w:szCs w:val="24"/>
          <w:spacing w:val="-8"/>
        </w:rPr>
        <w:t>附件1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                             </w:t>
      </w:r>
      <w:r>
        <w:rPr>
          <w:rFonts w:ascii="SimSun" w:hAnsi="SimSun" w:eastAsia="SimSun" w:cs="SimSun"/>
          <w:sz w:val="24"/>
          <w:szCs w:val="24"/>
        </w:rPr>
        <w:t xml:space="preserve">       </w:t>
      </w:r>
      <w:r>
        <w:rPr>
          <w:rFonts w:ascii="SimSun" w:hAnsi="SimSun" w:eastAsia="SimSun" w:cs="SimSun"/>
          <w:sz w:val="18"/>
          <w:szCs w:val="18"/>
          <w:spacing w:val="-8"/>
        </w:rPr>
        <w:t>编 号</w:t>
      </w:r>
      <w:r>
        <w:rPr>
          <w:rFonts w:ascii="SimSun" w:hAnsi="SimSun" w:eastAsia="SimSun" w:cs="SimSun"/>
          <w:sz w:val="18"/>
          <w:szCs w:val="18"/>
          <w:spacing w:val="-14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8"/>
        </w:rPr>
        <w:t>：</w:t>
      </w:r>
    </w:p>
    <w:p>
      <w:pPr>
        <w:pStyle w:val="BodyText"/>
        <w:spacing w:line="259" w:lineRule="auto"/>
        <w:rPr/>
      </w:pPr>
      <w:r/>
    </w:p>
    <w:p>
      <w:pPr>
        <w:ind w:left="1180"/>
        <w:spacing w:before="124" w:line="21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2"/>
        </w:rPr>
        <w:t>北京市大兴区储备原粮商务认定书</w:t>
      </w:r>
    </w:p>
    <w:p>
      <w:pPr>
        <w:ind w:left="205"/>
        <w:spacing w:before="251" w:line="22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1"/>
          <w:position w:val="1"/>
        </w:rPr>
        <w:t>批次：</w:t>
      </w:r>
      <w:r>
        <w:rPr>
          <w:rFonts w:ascii="SimSun" w:hAnsi="SimSun" w:eastAsia="SimSun" w:cs="SimSun"/>
          <w:sz w:val="23"/>
          <w:szCs w:val="23"/>
          <w:spacing w:val="2"/>
          <w:position w:val="1"/>
        </w:rPr>
        <w:t xml:space="preserve">                            </w:t>
      </w:r>
      <w:r>
        <w:rPr>
          <w:rFonts w:ascii="SimSun" w:hAnsi="SimSun" w:eastAsia="SimSun" w:cs="SimSun"/>
          <w:sz w:val="23"/>
          <w:szCs w:val="23"/>
          <w:spacing w:val="1"/>
          <w:position w:val="1"/>
        </w:rPr>
        <w:t xml:space="preserve">    </w:t>
      </w:r>
      <w:r>
        <w:rPr>
          <w:rFonts w:ascii="SimSun" w:hAnsi="SimSun" w:eastAsia="SimSun" w:cs="SimSun"/>
          <w:sz w:val="23"/>
          <w:szCs w:val="23"/>
          <w:spacing w:val="-1"/>
          <w:position w:val="-1"/>
        </w:rPr>
        <w:t>品种：</w:t>
      </w:r>
    </w:p>
    <w:tbl>
      <w:tblPr>
        <w:tblStyle w:val="TableNormal"/>
        <w:tblW w:w="7680" w:type="dxa"/>
        <w:tblInd w:w="2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1418"/>
        <w:gridCol w:w="1848"/>
        <w:gridCol w:w="559"/>
        <w:gridCol w:w="1358"/>
        <w:gridCol w:w="1923"/>
      </w:tblGrid>
      <w:tr>
        <w:trPr>
          <w:trHeight w:val="415" w:hRule="atLeast"/>
        </w:trPr>
        <w:tc>
          <w:tcPr>
            <w:tcW w:w="1992" w:type="dxa"/>
            <w:vAlign w:val="top"/>
            <w:gridSpan w:val="2"/>
          </w:tcPr>
          <w:p>
            <w:pPr>
              <w:pStyle w:val="TableText"/>
              <w:ind w:left="364"/>
              <w:spacing w:before="86" w:line="220" w:lineRule="auto"/>
              <w:rPr/>
            </w:pPr>
            <w:r>
              <w:rPr>
                <w:spacing w:val="-7"/>
              </w:rPr>
              <w:t>发</w:t>
            </w:r>
            <w:r>
              <w:rPr>
                <w:spacing w:val="5"/>
              </w:rPr>
              <w:t xml:space="preserve">      </w:t>
            </w:r>
            <w:r>
              <w:rPr>
                <w:spacing w:val="-7"/>
              </w:rPr>
              <w:t>方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gridSpan w:val="2"/>
          </w:tcPr>
          <w:p>
            <w:pPr>
              <w:pStyle w:val="TableText"/>
              <w:ind w:left="265"/>
              <w:spacing w:before="85" w:line="219" w:lineRule="auto"/>
              <w:rPr/>
            </w:pPr>
            <w:r>
              <w:rPr>
                <w:spacing w:val="-10"/>
              </w:rPr>
              <w:t>收</w:t>
            </w:r>
            <w:r>
              <w:rPr>
                <w:spacing w:val="4"/>
              </w:rPr>
              <w:t xml:space="preserve">       </w:t>
            </w:r>
            <w:r>
              <w:rPr>
                <w:spacing w:val="-10"/>
              </w:rPr>
              <w:t>方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992" w:type="dxa"/>
            <w:vAlign w:val="top"/>
            <w:gridSpan w:val="2"/>
          </w:tcPr>
          <w:p>
            <w:pPr>
              <w:pStyle w:val="TableText"/>
              <w:ind w:left="484"/>
              <w:spacing w:before="80" w:line="219" w:lineRule="auto"/>
              <w:rPr/>
            </w:pPr>
            <w:r>
              <w:rPr>
                <w:spacing w:val="-2"/>
              </w:rPr>
              <w:t>运输方式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gridSpan w:val="2"/>
          </w:tcPr>
          <w:p>
            <w:pPr>
              <w:pStyle w:val="TableText"/>
              <w:ind w:left="454"/>
              <w:spacing w:before="80" w:line="219" w:lineRule="auto"/>
              <w:rPr/>
            </w:pPr>
            <w:r>
              <w:rPr>
                <w:spacing w:val="-2"/>
              </w:rPr>
              <w:t>运输方式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1992" w:type="dxa"/>
            <w:vAlign w:val="top"/>
            <w:gridSpan w:val="2"/>
          </w:tcPr>
          <w:p>
            <w:pPr>
              <w:pStyle w:val="TableText"/>
              <w:ind w:left="364"/>
              <w:spacing w:before="81" w:line="219" w:lineRule="auto"/>
              <w:rPr/>
            </w:pPr>
            <w:r>
              <w:rPr>
                <w:spacing w:val="9"/>
              </w:rPr>
              <w:t>原发数(车)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gridSpan w:val="2"/>
          </w:tcPr>
          <w:p>
            <w:pPr>
              <w:pStyle w:val="TableText"/>
              <w:ind w:left="325"/>
              <w:spacing w:before="81" w:line="219" w:lineRule="auto"/>
              <w:rPr/>
            </w:pPr>
            <w:r>
              <w:rPr>
                <w:spacing w:val="9"/>
              </w:rPr>
              <w:t>实收数(车)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992" w:type="dxa"/>
            <w:vAlign w:val="top"/>
            <w:gridSpan w:val="2"/>
          </w:tcPr>
          <w:p>
            <w:pPr>
              <w:pStyle w:val="TableText"/>
              <w:ind w:left="235"/>
              <w:spacing w:before="82" w:line="219" w:lineRule="auto"/>
              <w:rPr/>
            </w:pPr>
            <w:r>
              <w:rPr>
                <w:spacing w:val="7"/>
              </w:rPr>
              <w:t>件数合计(包)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gridSpan w:val="2"/>
          </w:tcPr>
          <w:p>
            <w:pPr>
              <w:pStyle w:val="TableText"/>
              <w:ind w:left="204"/>
              <w:spacing w:before="82" w:line="219" w:lineRule="auto"/>
              <w:rPr/>
            </w:pPr>
            <w:r>
              <w:rPr>
                <w:spacing w:val="7"/>
              </w:rPr>
              <w:t>件数合计(包)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5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3"/>
              <w:spacing w:before="169" w:line="208" w:lineRule="auto"/>
              <w:rPr/>
            </w:pPr>
            <w:r>
              <w:rPr>
                <w:spacing w:val="-1"/>
              </w:rPr>
              <w:t>其</w:t>
            </w:r>
            <w:r>
              <w:rPr>
                <w:spacing w:val="17"/>
              </w:rPr>
              <w:t xml:space="preserve">    </w:t>
            </w:r>
            <w:r>
              <w:rPr>
                <w:spacing w:val="-1"/>
              </w:rPr>
              <w:t>中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71"/>
              <w:spacing w:before="83" w:line="220" w:lineRule="auto"/>
              <w:rPr/>
            </w:pPr>
            <w:r>
              <w:rPr/>
              <w:t>新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4"/>
              <w:spacing w:before="164" w:line="208" w:lineRule="auto"/>
              <w:rPr/>
            </w:pPr>
            <w:r>
              <w:rPr>
                <w:spacing w:val="-1"/>
              </w:rPr>
              <w:t>其</w:t>
            </w:r>
            <w:r>
              <w:rPr>
                <w:spacing w:val="24"/>
              </w:rPr>
              <w:t xml:space="preserve">    </w:t>
            </w:r>
            <w:r>
              <w:rPr>
                <w:spacing w:val="-1"/>
              </w:rPr>
              <w:t>中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45"/>
              <w:spacing w:before="83" w:line="220" w:lineRule="auto"/>
              <w:rPr/>
            </w:pPr>
            <w:r>
              <w:rPr/>
              <w:t>新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5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71"/>
              <w:spacing w:before="95" w:line="225" w:lineRule="auto"/>
              <w:rPr/>
            </w:pPr>
            <w:r>
              <w:rPr/>
              <w:t>旧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45"/>
              <w:spacing w:before="95" w:line="225" w:lineRule="auto"/>
              <w:rPr/>
            </w:pPr>
            <w:r>
              <w:rPr/>
              <w:t>旧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5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71"/>
              <w:spacing w:before="83" w:line="219" w:lineRule="auto"/>
              <w:rPr/>
            </w:pPr>
            <w:r>
              <w:rPr/>
              <w:t>杂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45"/>
              <w:spacing w:before="83" w:line="219" w:lineRule="auto"/>
              <w:rPr/>
            </w:pPr>
            <w:r>
              <w:rPr/>
              <w:t>杂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1992" w:type="dxa"/>
            <w:vAlign w:val="top"/>
            <w:gridSpan w:val="2"/>
          </w:tcPr>
          <w:p>
            <w:pPr>
              <w:pStyle w:val="TableText"/>
              <w:ind w:left="114"/>
              <w:spacing w:before="73" w:line="219" w:lineRule="auto"/>
              <w:rPr/>
            </w:pPr>
            <w:r>
              <w:rPr>
                <w:spacing w:val="6"/>
              </w:rPr>
              <w:t>数量合计(公斤)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324" w:right="277" w:firstLine="129"/>
              <w:spacing w:before="84" w:line="264" w:lineRule="auto"/>
              <w:rPr/>
            </w:pPr>
            <w:r>
              <w:rPr>
                <w:spacing w:val="2"/>
              </w:rPr>
              <w:t>结算数量</w:t>
            </w:r>
            <w:r>
              <w:rPr/>
              <w:t xml:space="preserve">  </w:t>
            </w:r>
            <w:r>
              <w:rPr>
                <w:spacing w:val="9"/>
              </w:rPr>
              <w:t>合计(公斤)</w:t>
            </w:r>
          </w:p>
        </w:tc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5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5"/>
              <w:spacing w:before="169" w:line="208" w:lineRule="auto"/>
              <w:rPr/>
            </w:pPr>
            <w:r>
              <w:rPr>
                <w:spacing w:val="-1"/>
              </w:rPr>
              <w:t>其</w:t>
            </w:r>
            <w:r>
              <w:rPr>
                <w:spacing w:val="17"/>
              </w:rPr>
              <w:t xml:space="preserve">    </w:t>
            </w:r>
            <w:r>
              <w:rPr>
                <w:spacing w:val="-1"/>
              </w:rPr>
              <w:t>中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71"/>
              <w:spacing w:before="83" w:line="219" w:lineRule="auto"/>
              <w:rPr/>
            </w:pPr>
            <w:r>
              <w:rPr/>
              <w:t>等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5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71"/>
              <w:spacing w:before="84" w:line="219" w:lineRule="auto"/>
              <w:rPr/>
            </w:pPr>
            <w:r>
              <w:rPr/>
              <w:t>等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6"/>
              <w:spacing w:before="164" w:line="208" w:lineRule="auto"/>
              <w:rPr/>
            </w:pPr>
            <w:r>
              <w:rPr>
                <w:spacing w:val="-1"/>
              </w:rPr>
              <w:t>其</w:t>
            </w:r>
            <w:r>
              <w:rPr>
                <w:spacing w:val="2"/>
              </w:rPr>
              <w:t xml:space="preserve">     </w:t>
            </w:r>
            <w:r>
              <w:rPr>
                <w:spacing w:val="-1"/>
              </w:rPr>
              <w:t>中</w:t>
            </w:r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45"/>
              <w:spacing w:before="84" w:line="219" w:lineRule="auto"/>
              <w:rPr/>
            </w:pPr>
            <w:r>
              <w:rPr/>
              <w:t>等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5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ind w:left="571"/>
              <w:spacing w:before="84" w:line="219" w:lineRule="auto"/>
              <w:rPr/>
            </w:pPr>
            <w:r>
              <w:rPr/>
              <w:t>等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45"/>
              <w:spacing w:before="84" w:line="219" w:lineRule="auto"/>
              <w:rPr/>
            </w:pPr>
            <w:r>
              <w:rPr/>
              <w:t>等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992" w:type="dxa"/>
            <w:vAlign w:val="top"/>
            <w:gridSpan w:val="2"/>
          </w:tcPr>
          <w:p>
            <w:pPr>
              <w:pStyle w:val="TableText"/>
              <w:ind w:left="235"/>
              <w:spacing w:before="124" w:line="219" w:lineRule="auto"/>
              <w:rPr/>
            </w:pPr>
            <w:r>
              <w:rPr>
                <w:spacing w:val="1"/>
              </w:rPr>
              <w:t>发方承担数量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</w:tcPr>
          <w:p>
            <w:pPr>
              <w:pStyle w:val="TableText"/>
              <w:ind w:left="545"/>
              <w:spacing w:before="124" w:line="219" w:lineRule="auto"/>
              <w:rPr/>
            </w:pPr>
            <w:r>
              <w:rPr/>
              <w:t>等</w:t>
            </w:r>
          </w:p>
        </w:tc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0" w:hRule="atLeast"/>
        </w:trPr>
        <w:tc>
          <w:tcPr>
            <w:tcW w:w="7680" w:type="dxa"/>
            <w:vAlign w:val="top"/>
            <w:gridSpan w:val="6"/>
          </w:tcPr>
          <w:p>
            <w:pPr>
              <w:pStyle w:val="TableText"/>
              <w:ind w:left="184"/>
              <w:spacing w:before="55" w:line="219" w:lineRule="auto"/>
              <w:rPr/>
            </w:pPr>
            <w:r>
              <w:rPr>
                <w:spacing w:val="-1"/>
              </w:rPr>
              <w:t>商务概述：</w:t>
            </w:r>
          </w:p>
        </w:tc>
      </w:tr>
    </w:tbl>
    <w:p>
      <w:pPr>
        <w:ind w:left="265"/>
        <w:spacing w:before="111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6"/>
        </w:rPr>
        <w:t>说明：1. “商务概述”为粮油数量、水分、等级(可填品名或等级)、包</w:t>
      </w:r>
      <w:r>
        <w:rPr>
          <w:rFonts w:ascii="SimSun" w:hAnsi="SimSun" w:eastAsia="SimSun" w:cs="SimSun"/>
          <w:sz w:val="18"/>
          <w:szCs w:val="18"/>
          <w:spacing w:val="5"/>
        </w:rPr>
        <w:t>装物等商务情况的说明。</w:t>
      </w:r>
    </w:p>
    <w:p>
      <w:pPr>
        <w:ind w:left="885"/>
        <w:spacing w:before="7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9"/>
        </w:rPr>
        <w:t>2.此表一式三份，即区粮食和储备局、接收单位、</w:t>
      </w:r>
      <w:r>
        <w:rPr>
          <w:rFonts w:ascii="SimSun" w:hAnsi="SimSun" w:eastAsia="SimSun" w:cs="SimSun"/>
          <w:sz w:val="18"/>
          <w:szCs w:val="18"/>
          <w:spacing w:val="8"/>
        </w:rPr>
        <w:t>供货单位各一份。</w:t>
      </w:r>
    </w:p>
    <w:p>
      <w:pPr>
        <w:ind w:left="885"/>
        <w:spacing w:before="8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7"/>
        </w:rPr>
        <w:t>3.此表格要求用计算机填报。</w:t>
      </w:r>
    </w:p>
    <w:p>
      <w:pPr>
        <w:spacing w:before="29"/>
        <w:rPr/>
      </w:pPr>
      <w:r/>
    </w:p>
    <w:p>
      <w:pPr>
        <w:sectPr>
          <w:footerReference w:type="default" r:id="rId17"/>
          <w:pgSz w:w="11900" w:h="16830"/>
          <w:pgMar w:top="1300" w:right="1785" w:bottom="400" w:left="1785" w:header="0" w:footer="0" w:gutter="0"/>
          <w:cols w:equalWidth="0" w:num="1">
            <w:col w:w="8330" w:space="0"/>
          </w:cols>
        </w:sectPr>
        <w:rPr/>
      </w:pPr>
    </w:p>
    <w:p>
      <w:pPr>
        <w:ind w:left="684"/>
        <w:spacing w:before="48" w:line="21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发方单位：(盖章)</w:t>
      </w:r>
    </w:p>
    <w:p>
      <w:pPr>
        <w:ind w:left="684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7"/>
        </w:rPr>
        <w:t>签     字：</w:t>
      </w:r>
    </w:p>
    <w:p>
      <w:pPr>
        <w:spacing w:line="35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6" w:line="21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接收单位：(盖章)</w:t>
      </w:r>
    </w:p>
    <w:p>
      <w:pPr>
        <w:ind w:left="69"/>
        <w:spacing w:before="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签</w:t>
      </w:r>
      <w:r>
        <w:rPr>
          <w:rFonts w:ascii="SimSun" w:hAnsi="SimSun" w:eastAsia="SimSun" w:cs="SimSun"/>
          <w:sz w:val="24"/>
          <w:szCs w:val="24"/>
          <w:spacing w:val="25"/>
        </w:rPr>
        <w:t xml:space="preserve">    </w:t>
      </w:r>
      <w:r>
        <w:rPr>
          <w:rFonts w:ascii="SimSun" w:hAnsi="SimSun" w:eastAsia="SimSun" w:cs="SimSun"/>
          <w:sz w:val="24"/>
          <w:szCs w:val="24"/>
          <w:spacing w:val="-9"/>
        </w:rPr>
        <w:t>字：</w:t>
      </w:r>
    </w:p>
    <w:p>
      <w:pPr>
        <w:spacing w:line="219" w:lineRule="auto"/>
        <w:sectPr>
          <w:type w:val="continuous"/>
          <w:pgSz w:w="11900" w:h="16830"/>
          <w:pgMar w:top="1300" w:right="1785" w:bottom="400" w:left="1785" w:header="0" w:footer="0" w:gutter="0"/>
          <w:cols w:equalWidth="0" w:num="2">
            <w:col w:w="5216" w:space="100"/>
            <w:col w:w="3015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2355"/>
        <w:spacing w:before="59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6"/>
        </w:rPr>
        <w:t>日</w:t>
      </w:r>
      <w:r>
        <w:rPr>
          <w:rFonts w:ascii="SimSun" w:hAnsi="SimSun" w:eastAsia="SimSun" w:cs="SimSun"/>
          <w:sz w:val="18"/>
          <w:szCs w:val="18"/>
          <w:spacing w:val="-12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6"/>
        </w:rPr>
        <w:t>期</w:t>
      </w:r>
      <w:r>
        <w:rPr>
          <w:rFonts w:ascii="SimSun" w:hAnsi="SimSun" w:eastAsia="SimSun" w:cs="SimSun"/>
          <w:sz w:val="18"/>
          <w:szCs w:val="18"/>
          <w:spacing w:val="-20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6"/>
        </w:rPr>
        <w:t>：</w:t>
      </w:r>
    </w:p>
    <w:p>
      <w:pPr>
        <w:spacing w:line="184" w:lineRule="auto"/>
        <w:sectPr>
          <w:type w:val="continuous"/>
          <w:pgSz w:w="11900" w:h="16830"/>
          <w:pgMar w:top="1300" w:right="1785" w:bottom="400" w:left="1785" w:header="0" w:footer="0" w:gutter="0"/>
          <w:cols w:equalWidth="0" w:num="1">
            <w:col w:w="833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ind w:left="17"/>
        <w:spacing w:before="32" w:line="203" w:lineRule="auto"/>
        <w:rPr>
          <w:rFonts w:ascii="SimHei" w:hAnsi="SimHei" w:eastAsia="SimHei" w:cs="SimHei"/>
          <w:sz w:val="16"/>
          <w:szCs w:val="16"/>
        </w:rPr>
      </w:pPr>
      <w:r>
        <w:rPr>
          <w:rFonts w:ascii="SimHei" w:hAnsi="SimHei" w:eastAsia="SimHei" w:cs="SimHei"/>
          <w:sz w:val="16"/>
          <w:szCs w:val="16"/>
          <w:b/>
          <w:bCs/>
          <w:spacing w:val="3"/>
        </w:rPr>
        <w:t>附件2-1</w:t>
      </w:r>
    </w:p>
    <w:p>
      <w:pPr>
        <w:ind w:left="5108"/>
        <w:spacing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b/>
          <w:bCs/>
          <w:spacing w:val="-4"/>
        </w:rPr>
        <w:t>北京市大兴区储备原粮入库质量情况统计表(小麦)</w:t>
      </w:r>
    </w:p>
    <w:p>
      <w:pPr>
        <w:ind w:left="4"/>
        <w:spacing w:before="188" w:line="223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1"/>
        </w:rPr>
        <w:t>填报单位：                                                     </w:t>
      </w:r>
      <w:r>
        <w:rPr>
          <w:rFonts w:ascii="SimSun" w:hAnsi="SimSun" w:eastAsia="SimSun" w:cs="SimSun"/>
          <w:sz w:val="14"/>
          <w:szCs w:val="14"/>
        </w:rPr>
        <w:t xml:space="preserve">                                                                 填报日期：</w:t>
      </w:r>
    </w:p>
    <w:tbl>
      <w:tblPr>
        <w:tblStyle w:val="TableNormal"/>
        <w:tblW w:w="155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4"/>
        <w:gridCol w:w="1179"/>
        <w:gridCol w:w="979"/>
        <w:gridCol w:w="969"/>
        <w:gridCol w:w="510"/>
        <w:gridCol w:w="430"/>
        <w:gridCol w:w="759"/>
        <w:gridCol w:w="759"/>
        <w:gridCol w:w="530"/>
        <w:gridCol w:w="749"/>
        <w:gridCol w:w="590"/>
        <w:gridCol w:w="440"/>
        <w:gridCol w:w="480"/>
        <w:gridCol w:w="550"/>
        <w:gridCol w:w="540"/>
        <w:gridCol w:w="539"/>
        <w:gridCol w:w="540"/>
        <w:gridCol w:w="540"/>
        <w:gridCol w:w="580"/>
        <w:gridCol w:w="559"/>
        <w:gridCol w:w="580"/>
        <w:gridCol w:w="700"/>
        <w:gridCol w:w="699"/>
        <w:gridCol w:w="704"/>
      </w:tblGrid>
      <w:tr>
        <w:trPr>
          <w:trHeight w:val="804" w:hRule="atLeast"/>
        </w:trPr>
        <w:tc>
          <w:tcPr>
            <w:tcW w:w="64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发站</w:t>
            </w:r>
          </w:p>
        </w:tc>
        <w:tc>
          <w:tcPr>
            <w:tcW w:w="11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发货单位</w:t>
            </w:r>
          </w:p>
        </w:tc>
        <w:tc>
          <w:tcPr>
            <w:tcW w:w="9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3"/>
              </w:rPr>
              <w:t>到达时间</w:t>
            </w:r>
          </w:p>
        </w:tc>
        <w:tc>
          <w:tcPr>
            <w:tcW w:w="96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车号</w:t>
            </w:r>
          </w:p>
        </w:tc>
        <w:tc>
          <w:tcPr>
            <w:tcW w:w="51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5"/>
              </w:rPr>
              <w:t>品种</w:t>
            </w:r>
          </w:p>
        </w:tc>
        <w:tc>
          <w:tcPr>
            <w:tcW w:w="4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等级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94"/>
              <w:spacing w:before="24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原发数量</w:t>
            </w:r>
          </w:p>
          <w:p>
            <w:pPr>
              <w:pStyle w:val="TableText"/>
              <w:ind w:left="233"/>
              <w:spacing w:before="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0"/>
              </w:rPr>
              <w:t>(吨)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114" w:right="32" w:hanging="90"/>
              <w:spacing w:before="231" w:line="21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实际检斤数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7"/>
              </w:rPr>
              <w:t>量(吨)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115"/>
              <w:spacing w:before="24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差率</w:t>
            </w:r>
          </w:p>
          <w:p>
            <w:pPr>
              <w:pStyle w:val="TableText"/>
              <w:ind w:left="156"/>
              <w:spacing w:before="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(%)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85"/>
              <w:spacing w:before="250"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结算数量</w:t>
            </w:r>
          </w:p>
          <w:p>
            <w:pPr>
              <w:pStyle w:val="TableText"/>
              <w:ind w:left="226"/>
              <w:spacing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10"/>
              </w:rPr>
              <w:t>(吨)</w:t>
            </w:r>
          </w:p>
        </w:tc>
        <w:tc>
          <w:tcPr>
            <w:tcW w:w="590" w:type="dxa"/>
            <w:vAlign w:val="top"/>
          </w:tcPr>
          <w:p>
            <w:pPr>
              <w:pStyle w:val="TableText"/>
              <w:ind w:left="147"/>
              <w:spacing w:before="24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水分</w:t>
            </w:r>
          </w:p>
          <w:p>
            <w:pPr>
              <w:pStyle w:val="TableText"/>
              <w:ind w:left="186"/>
              <w:spacing w:before="2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(%)</w:t>
            </w:r>
          </w:p>
        </w:tc>
        <w:tc>
          <w:tcPr>
            <w:tcW w:w="440" w:type="dxa"/>
            <w:vAlign w:val="top"/>
          </w:tcPr>
          <w:p>
            <w:pPr>
              <w:pStyle w:val="TableText"/>
              <w:ind w:left="76"/>
              <w:spacing w:before="24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7"/>
              </w:rPr>
              <w:t>杂质</w:t>
            </w:r>
          </w:p>
          <w:p>
            <w:pPr>
              <w:pStyle w:val="TableText"/>
              <w:ind w:left="107"/>
              <w:spacing w:before="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(%)</w:t>
            </w:r>
          </w:p>
        </w:tc>
        <w:tc>
          <w:tcPr>
            <w:tcW w:w="480" w:type="dxa"/>
            <w:vAlign w:val="top"/>
          </w:tcPr>
          <w:p>
            <w:pPr>
              <w:pStyle w:val="TableText"/>
              <w:ind w:left="97"/>
              <w:spacing w:before="23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容重</w:t>
            </w:r>
          </w:p>
          <w:p>
            <w:pPr>
              <w:pStyle w:val="TableText"/>
              <w:ind w:left="56"/>
              <w:spacing w:before="7"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5"/>
              </w:rPr>
              <w:t>(g/I)</w:t>
            </w:r>
          </w:p>
        </w:tc>
        <w:tc>
          <w:tcPr>
            <w:tcW w:w="550" w:type="dxa"/>
            <w:vAlign w:val="top"/>
          </w:tcPr>
          <w:p>
            <w:pPr>
              <w:pStyle w:val="TableText"/>
              <w:ind w:left="56"/>
              <w:spacing w:before="15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硬度指</w:t>
            </w:r>
          </w:p>
          <w:p>
            <w:pPr>
              <w:pStyle w:val="TableText"/>
              <w:ind w:left="196"/>
              <w:spacing w:before="22"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数</w:t>
            </w:r>
          </w:p>
          <w:p>
            <w:pPr>
              <w:pStyle w:val="TableText"/>
              <w:ind w:left="167"/>
              <w:spacing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(%)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85" w:right="60" w:hanging="129"/>
              <w:spacing w:before="160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不完善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粒</w:t>
            </w:r>
          </w:p>
          <w:p>
            <w:pPr>
              <w:pStyle w:val="TableText"/>
              <w:ind w:left="156"/>
              <w:spacing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7"/>
              </w:rPr>
              <w:t>(%)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26" w:right="58" w:hanging="70"/>
              <w:spacing w:before="160"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面筋吸</w:t>
            </w:r>
            <w:r>
              <w:rPr>
                <w:sz w:val="14"/>
                <w:szCs w:val="14"/>
                <w:spacing w:val="1"/>
              </w:rPr>
              <w:t xml:space="preserve"> </w:t>
            </w:r>
            <w:r>
              <w:rPr>
                <w:sz w:val="14"/>
                <w:szCs w:val="14"/>
                <w:spacing w:val="-4"/>
              </w:rPr>
              <w:t>水量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(%)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87"/>
              <w:spacing w:before="69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脱氧雪</w:t>
            </w:r>
          </w:p>
          <w:p>
            <w:pPr>
              <w:pStyle w:val="TableText"/>
              <w:ind w:left="87"/>
              <w:spacing w:before="14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腐镰刀</w:t>
            </w:r>
          </w:p>
          <w:p>
            <w:pPr>
              <w:pStyle w:val="TableText"/>
              <w:ind w:left="107" w:right="30" w:hanging="20"/>
              <w:spacing w:before="3" w:line="21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菌烯醇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-1"/>
              </w:rPr>
              <w:t>ug/kg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58"/>
              <w:spacing w:before="70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玉米赤</w:t>
            </w:r>
          </w:p>
          <w:p>
            <w:pPr>
              <w:pStyle w:val="TableText"/>
              <w:ind w:left="58"/>
              <w:spacing w:before="3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霉烯酮</w:t>
            </w:r>
          </w:p>
          <w:p>
            <w:pPr>
              <w:pStyle w:val="TableText"/>
              <w:ind w:left="157"/>
              <w:spacing w:before="16" w:line="222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6"/>
              </w:rPr>
              <w:t>(μ</w:t>
            </w:r>
          </w:p>
          <w:p>
            <w:pPr>
              <w:pStyle w:val="TableText"/>
              <w:ind w:left="87"/>
              <w:spacing w:before="4"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g/kg)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spacing w:before="170" w:line="198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黄曲霉毒</w:t>
            </w:r>
          </w:p>
          <w:p>
            <w:pPr>
              <w:pStyle w:val="TableText"/>
              <w:spacing w:line="219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4"/>
              </w:rPr>
              <w:t>素B1(μ</w:t>
            </w:r>
          </w:p>
          <w:p>
            <w:pPr>
              <w:pStyle w:val="TableText"/>
              <w:ind w:left="107"/>
              <w:spacing w:before="39"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g/kg)</w:t>
            </w:r>
          </w:p>
        </w:tc>
        <w:tc>
          <w:tcPr>
            <w:tcW w:w="5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6" w:line="214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9"/>
                <w:w w:val="95"/>
              </w:rPr>
              <w:t>铅(mg/kg)</w:t>
            </w:r>
          </w:p>
        </w:tc>
        <w:tc>
          <w:tcPr>
            <w:tcW w:w="58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46" w:line="214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9"/>
                <w:w w:val="97"/>
              </w:rPr>
              <w:t>镉(mg/kg)</w:t>
            </w:r>
          </w:p>
        </w:tc>
        <w:tc>
          <w:tcPr>
            <w:tcW w:w="70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4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色泽气味</w:t>
            </w:r>
          </w:p>
        </w:tc>
        <w:tc>
          <w:tcPr>
            <w:tcW w:w="6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新陈</w:t>
            </w:r>
          </w:p>
        </w:tc>
        <w:tc>
          <w:tcPr>
            <w:tcW w:w="7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45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备注</w:t>
            </w:r>
          </w:p>
        </w:tc>
      </w:tr>
      <w:tr>
        <w:trPr>
          <w:trHeight w:val="180" w:hRule="atLeast"/>
        </w:trPr>
        <w:tc>
          <w:tcPr>
            <w:tcW w:w="644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</w:tr>
      <w:tr>
        <w:trPr>
          <w:trHeight w:val="249" w:hRule="atLeast"/>
        </w:trPr>
        <w:tc>
          <w:tcPr>
            <w:tcW w:w="64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4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4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4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9" w:hRule="atLeast"/>
        </w:trPr>
        <w:tc>
          <w:tcPr>
            <w:tcW w:w="64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50" w:hRule="atLeast"/>
        </w:trPr>
        <w:tc>
          <w:tcPr>
            <w:tcW w:w="64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4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9" w:hRule="atLeast"/>
        </w:trPr>
        <w:tc>
          <w:tcPr>
            <w:tcW w:w="64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0" w:hRule="atLeast"/>
        </w:trPr>
        <w:tc>
          <w:tcPr>
            <w:tcW w:w="64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39" w:hRule="atLeast"/>
        </w:trPr>
        <w:tc>
          <w:tcPr>
            <w:tcW w:w="644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64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824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104" w:right="93"/>
              <w:spacing w:before="65" w:line="329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0"/>
              </w:rPr>
              <w:t>还</w:t>
            </w:r>
            <w:r>
              <w:rPr>
                <w:sz w:val="14"/>
                <w:szCs w:val="14"/>
                <w:spacing w:val="7"/>
              </w:rPr>
              <w:t xml:space="preserve">  </w:t>
            </w:r>
            <w:r>
              <w:rPr>
                <w:sz w:val="14"/>
                <w:szCs w:val="14"/>
                <w:spacing w:val="-10"/>
              </w:rPr>
              <w:t>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-13"/>
              </w:rPr>
              <w:t>说</w:t>
            </w:r>
            <w:r>
              <w:rPr>
                <w:sz w:val="14"/>
                <w:szCs w:val="14"/>
                <w:spacing w:val="20"/>
              </w:rPr>
              <w:t xml:space="preserve">  </w:t>
            </w:r>
            <w:r>
              <w:rPr>
                <w:sz w:val="14"/>
                <w:szCs w:val="14"/>
                <w:spacing w:val="-13"/>
              </w:rPr>
              <w:t>明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spacing w:val="-4"/>
              </w:rPr>
              <w:t>情</w:t>
            </w:r>
            <w:r>
              <w:rPr>
                <w:sz w:val="14"/>
                <w:szCs w:val="14"/>
                <w:spacing w:val="3"/>
              </w:rPr>
              <w:t xml:space="preserve">  </w:t>
            </w:r>
            <w:r>
              <w:rPr>
                <w:sz w:val="14"/>
                <w:szCs w:val="14"/>
                <w:spacing w:val="-4"/>
              </w:rPr>
              <w:t>况</w:t>
            </w:r>
          </w:p>
        </w:tc>
        <w:tc>
          <w:tcPr>
            <w:tcW w:w="14905" w:type="dxa"/>
            <w:vAlign w:val="top"/>
            <w:gridSpan w:val="2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4"/>
        <w:spacing w:before="209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8"/>
        </w:rPr>
        <w:t>注：1.此表一式三份，即区粮食和储备局、接收单位、供货单</w:t>
      </w:r>
      <w:r>
        <w:rPr>
          <w:rFonts w:ascii="SimSun" w:hAnsi="SimSun" w:eastAsia="SimSun" w:cs="SimSun"/>
          <w:sz w:val="12"/>
          <w:szCs w:val="12"/>
          <w:spacing w:val="7"/>
        </w:rPr>
        <w:t>位各一份。</w:t>
      </w:r>
    </w:p>
    <w:p>
      <w:pPr>
        <w:ind w:left="344"/>
        <w:spacing w:before="57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spacing w:val="7"/>
        </w:rPr>
        <w:t>2.此表格要求用计算机填报。</w:t>
      </w:r>
    </w:p>
    <w:p>
      <w:pPr>
        <w:spacing w:line="219" w:lineRule="auto"/>
        <w:sectPr>
          <w:pgSz w:w="16830" w:h="11900"/>
          <w:pgMar w:top="773" w:right="805" w:bottom="400" w:left="465" w:header="0" w:footer="0" w:gutter="0"/>
        </w:sectPr>
        <w:rPr>
          <w:rFonts w:ascii="SimSun" w:hAnsi="SimSun" w:eastAsia="SimSun" w:cs="SimSun"/>
          <w:sz w:val="12"/>
          <w:szCs w:val="12"/>
        </w:rPr>
      </w:pPr>
    </w:p>
    <w:p>
      <w:pPr>
        <w:ind w:left="22"/>
        <w:spacing w:before="28" w:line="219" w:lineRule="auto"/>
        <w:rPr>
          <w:rFonts w:ascii="SimHei" w:hAnsi="SimHei" w:eastAsia="SimHei" w:cs="SimHei"/>
          <w:sz w:val="14"/>
          <w:szCs w:val="14"/>
        </w:rPr>
      </w:pPr>
      <w:r>
        <w:rPr>
          <w:rFonts w:ascii="SimHei" w:hAnsi="SimHei" w:eastAsia="SimHei" w:cs="SimHei"/>
          <w:sz w:val="14"/>
          <w:szCs w:val="14"/>
          <w:b/>
          <w:bCs/>
          <w:spacing w:val="9"/>
        </w:rPr>
        <w:t>附件2-2</w:t>
      </w:r>
    </w:p>
    <w:p>
      <w:pPr>
        <w:ind w:left="4892"/>
        <w:spacing w:line="22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b/>
          <w:bCs/>
          <w:spacing w:val="4"/>
        </w:rPr>
        <w:t>北京市大兴区储备原粮入库质量情况统计表(大米)</w:t>
      </w:r>
    </w:p>
    <w:p>
      <w:pPr>
        <w:spacing w:before="176" w:line="219" w:lineRule="auto"/>
        <w:rPr>
          <w:rFonts w:ascii="SimSun" w:hAnsi="SimSun" w:eastAsia="SimSun" w:cs="SimSun"/>
          <w:sz w:val="11"/>
          <w:szCs w:val="11"/>
        </w:rPr>
      </w:pPr>
      <w:r>
        <w:rPr>
          <w:rFonts w:ascii="SimSun" w:hAnsi="SimSun" w:eastAsia="SimSun" w:cs="SimSun"/>
          <w:sz w:val="11"/>
          <w:szCs w:val="11"/>
        </w:rPr>
        <w:t>填报单位：      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1"/>
          <w:szCs w:val="11"/>
          <w:spacing w:val="-1"/>
        </w:rPr>
        <w:t xml:space="preserve">                          填报日期：</w:t>
      </w:r>
    </w:p>
    <w:tbl>
      <w:tblPr>
        <w:tblStyle w:val="TableNormal"/>
        <w:tblW w:w="1415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9"/>
        <w:gridCol w:w="969"/>
        <w:gridCol w:w="809"/>
        <w:gridCol w:w="789"/>
        <w:gridCol w:w="620"/>
        <w:gridCol w:w="629"/>
        <w:gridCol w:w="620"/>
        <w:gridCol w:w="480"/>
        <w:gridCol w:w="500"/>
        <w:gridCol w:w="510"/>
        <w:gridCol w:w="480"/>
        <w:gridCol w:w="460"/>
        <w:gridCol w:w="460"/>
        <w:gridCol w:w="460"/>
        <w:gridCol w:w="469"/>
        <w:gridCol w:w="490"/>
        <w:gridCol w:w="450"/>
        <w:gridCol w:w="839"/>
        <w:gridCol w:w="579"/>
        <w:gridCol w:w="570"/>
        <w:gridCol w:w="579"/>
        <w:gridCol w:w="570"/>
        <w:gridCol w:w="579"/>
        <w:gridCol w:w="565"/>
      </w:tblGrid>
      <w:tr>
        <w:trPr>
          <w:trHeight w:val="629" w:hRule="atLeast"/>
        </w:trPr>
        <w:tc>
          <w:tcPr>
            <w:tcW w:w="67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09"/>
              <w:spacing w:before="255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发站</w:t>
            </w:r>
          </w:p>
        </w:tc>
        <w:tc>
          <w:tcPr>
            <w:tcW w:w="96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61"/>
              <w:spacing w:before="25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发货单位</w:t>
            </w:r>
          </w:p>
        </w:tc>
        <w:tc>
          <w:tcPr>
            <w:tcW w:w="80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1"/>
              <w:spacing w:before="255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到达时间</w:t>
            </w:r>
          </w:p>
        </w:tc>
        <w:tc>
          <w:tcPr>
            <w:tcW w:w="78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83"/>
              <w:spacing w:before="25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车号</w:t>
            </w:r>
          </w:p>
        </w:tc>
        <w:tc>
          <w:tcPr>
            <w:tcW w:w="62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04"/>
              <w:spacing w:before="255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4"/>
              </w:rPr>
              <w:t>品种</w:t>
            </w:r>
          </w:p>
        </w:tc>
        <w:tc>
          <w:tcPr>
            <w:tcW w:w="62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03"/>
              <w:spacing w:before="25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等级</w:t>
            </w:r>
          </w:p>
        </w:tc>
        <w:tc>
          <w:tcPr>
            <w:tcW w:w="62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5"/>
              <w:spacing w:before="175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原发数量</w:t>
            </w:r>
          </w:p>
          <w:p>
            <w:pPr>
              <w:pStyle w:val="TableText"/>
              <w:ind w:left="164"/>
              <w:spacing w:before="9"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(吨)</w:t>
            </w:r>
          </w:p>
        </w:tc>
        <w:tc>
          <w:tcPr>
            <w:tcW w:w="48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1" w:hanging="96"/>
              <w:spacing w:before="114" w:line="20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7"/>
              </w:rPr>
              <w:t>实际检斤</w:t>
            </w:r>
            <w:r>
              <w:rPr>
                <w:sz w:val="12"/>
                <w:szCs w:val="12"/>
                <w:spacing w:val="1"/>
              </w:rPr>
              <w:t xml:space="preserve"> </w:t>
            </w:r>
            <w:r>
              <w:rPr>
                <w:sz w:val="12"/>
                <w:szCs w:val="12"/>
                <w:spacing w:val="-4"/>
              </w:rPr>
              <w:t>数量</w:t>
            </w:r>
          </w:p>
          <w:p>
            <w:pPr>
              <w:pStyle w:val="TableText"/>
              <w:ind w:left="135"/>
              <w:spacing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(吨)</w:t>
            </w:r>
          </w:p>
        </w:tc>
        <w:tc>
          <w:tcPr>
            <w:tcW w:w="50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4"/>
              <w:spacing w:before="175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差率</w:t>
            </w:r>
          </w:p>
          <w:p>
            <w:pPr>
              <w:pStyle w:val="TableText"/>
              <w:ind w:left="115"/>
              <w:spacing w:before="9"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51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"/>
              <w:spacing w:before="184" w:line="21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结算数量</w:t>
            </w:r>
          </w:p>
          <w:p>
            <w:pPr>
              <w:pStyle w:val="TableText"/>
              <w:ind w:left="124"/>
              <w:spacing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(吨)</w:t>
            </w:r>
          </w:p>
        </w:tc>
        <w:tc>
          <w:tcPr>
            <w:tcW w:w="48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14"/>
              <w:spacing w:before="175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水分</w:t>
            </w:r>
          </w:p>
          <w:p>
            <w:pPr>
              <w:pStyle w:val="TableText"/>
              <w:ind w:left="144"/>
              <w:spacing w:before="19"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4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5"/>
              <w:spacing w:before="184" w:line="20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杂质</w:t>
            </w:r>
          </w:p>
          <w:p>
            <w:pPr>
              <w:pStyle w:val="TableText"/>
              <w:ind w:left="85"/>
              <w:spacing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4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3" w:hanging="19"/>
              <w:spacing w:before="184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"/>
              </w:rPr>
              <w:t>出糙率 </w:t>
            </w: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46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4" w:hanging="80"/>
              <w:spacing w:before="184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0"/>
                <w:w w:val="98"/>
              </w:rPr>
              <w:t>整精米</w:t>
            </w:r>
            <w:r>
              <w:rPr>
                <w:sz w:val="12"/>
                <w:szCs w:val="12"/>
                <w:spacing w:val="-6"/>
                <w:w w:val="98"/>
              </w:rPr>
              <w:t>率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46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5"/>
              <w:spacing w:before="185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黄粒米</w:t>
            </w:r>
          </w:p>
          <w:p>
            <w:pPr>
              <w:pStyle w:val="TableText"/>
              <w:ind w:left="135"/>
              <w:spacing w:before="19"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49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before="185" w:line="219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谷外糙米</w:t>
            </w:r>
          </w:p>
          <w:p>
            <w:pPr>
              <w:pStyle w:val="TableText"/>
              <w:ind w:left="146"/>
              <w:spacing w:before="19" w:line="222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45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5" w:right="20" w:hanging="29"/>
              <w:spacing w:before="184"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互混率</w:t>
            </w:r>
            <w:r>
              <w:rPr>
                <w:sz w:val="12"/>
                <w:szCs w:val="12"/>
                <w:spacing w:val="1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(%)</w:t>
            </w:r>
          </w:p>
        </w:tc>
        <w:tc>
          <w:tcPr>
            <w:tcW w:w="83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75"/>
              <w:spacing w:before="194" w:line="21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脂肪酸值</w:t>
            </w:r>
          </w:p>
          <w:p>
            <w:pPr>
              <w:pStyle w:val="TableText"/>
              <w:ind w:left="55"/>
              <w:spacing w:line="213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(mgKOH/100g)</w:t>
            </w:r>
          </w:p>
        </w:tc>
        <w:tc>
          <w:tcPr>
            <w:tcW w:w="57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6" w:hanging="9"/>
              <w:spacing w:before="184" w:line="20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1"/>
              </w:rPr>
              <w:t>黄曲霉毒</w:t>
            </w:r>
            <w:r>
              <w:rPr>
                <w:sz w:val="12"/>
                <w:szCs w:val="12"/>
                <w:spacing w:val="-6"/>
              </w:rPr>
              <w:t>素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spacing w:val="-1"/>
              </w:rPr>
              <w:t>BI(μgkg)</w:t>
            </w:r>
          </w:p>
        </w:tc>
        <w:tc>
          <w:tcPr>
            <w:tcW w:w="57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spacing w:before="250" w:line="214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7"/>
              </w:rPr>
              <w:t>铅(</w:t>
            </w:r>
            <w:r>
              <w:rPr>
                <w:sz w:val="12"/>
                <w:szCs w:val="12"/>
              </w:rPr>
              <w:t>mgkg</w:t>
            </w:r>
            <w:r>
              <w:rPr>
                <w:sz w:val="12"/>
                <w:szCs w:val="12"/>
                <w:spacing w:val="7"/>
              </w:rPr>
              <w:t>)</w:t>
            </w:r>
          </w:p>
        </w:tc>
        <w:tc>
          <w:tcPr>
            <w:tcW w:w="57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right="4"/>
              <w:spacing w:before="250" w:line="214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8"/>
              </w:rPr>
              <w:t>镉(</w:t>
            </w:r>
            <w:r>
              <w:rPr>
                <w:sz w:val="12"/>
                <w:szCs w:val="12"/>
              </w:rPr>
              <w:t>mgkg</w:t>
            </w:r>
            <w:r>
              <w:rPr>
                <w:sz w:val="12"/>
                <w:szCs w:val="12"/>
                <w:spacing w:val="8"/>
              </w:rPr>
              <w:t>)</w:t>
            </w:r>
          </w:p>
        </w:tc>
        <w:tc>
          <w:tcPr>
            <w:tcW w:w="57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48"/>
              <w:spacing w:before="255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色泽气味</w:t>
            </w:r>
          </w:p>
        </w:tc>
        <w:tc>
          <w:tcPr>
            <w:tcW w:w="57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9"/>
              <w:spacing w:before="254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新陈</w:t>
            </w:r>
          </w:p>
        </w:tc>
        <w:tc>
          <w:tcPr>
            <w:tcW w:w="56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69"/>
              <w:spacing w:before="255" w:line="22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2"/>
              </w:rPr>
              <w:t>备注</w:t>
            </w:r>
          </w:p>
        </w:tc>
      </w:tr>
      <w:tr>
        <w:trPr>
          <w:trHeight w:val="199" w:hRule="atLeast"/>
        </w:trPr>
        <w:tc>
          <w:tcPr>
            <w:tcW w:w="6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9" w:hRule="atLeast"/>
        </w:trPr>
        <w:tc>
          <w:tcPr>
            <w:tcW w:w="6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99" w:hRule="atLeast"/>
        </w:trPr>
        <w:tc>
          <w:tcPr>
            <w:tcW w:w="6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9" w:hRule="atLeast"/>
        </w:trPr>
        <w:tc>
          <w:tcPr>
            <w:tcW w:w="6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9" w:hRule="atLeast"/>
        </w:trPr>
        <w:tc>
          <w:tcPr>
            <w:tcW w:w="6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89" w:hRule="atLeast"/>
        </w:trPr>
        <w:tc>
          <w:tcPr>
            <w:tcW w:w="6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09" w:hRule="atLeast"/>
        </w:trPr>
        <w:tc>
          <w:tcPr>
            <w:tcW w:w="67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9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190" w:hRule="atLeast"/>
        </w:trPr>
        <w:tc>
          <w:tcPr>
            <w:tcW w:w="67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0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9" w:hRule="atLeast"/>
        </w:trPr>
        <w:tc>
          <w:tcPr>
            <w:tcW w:w="6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199" w:hRule="atLeast"/>
        </w:trPr>
        <w:tc>
          <w:tcPr>
            <w:tcW w:w="6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89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200" w:hRule="atLeast"/>
        </w:trPr>
        <w:tc>
          <w:tcPr>
            <w:tcW w:w="6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0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1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8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6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9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56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684" w:hRule="atLeast"/>
        </w:trPr>
        <w:tc>
          <w:tcPr>
            <w:tcW w:w="679" w:type="dxa"/>
            <w:vAlign w:val="top"/>
          </w:tcPr>
          <w:p>
            <w:pPr>
              <w:pStyle w:val="TableText"/>
              <w:ind w:left="180"/>
              <w:spacing w:before="55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还</w:t>
            </w:r>
            <w:r>
              <w:rPr>
                <w:sz w:val="12"/>
                <w:szCs w:val="12"/>
                <w:spacing w:val="7"/>
              </w:rPr>
              <w:t xml:space="preserve"> </w:t>
            </w:r>
            <w:r>
              <w:rPr>
                <w:sz w:val="12"/>
                <w:szCs w:val="12"/>
                <w:spacing w:val="-3"/>
              </w:rPr>
              <w:t>雷</w:t>
            </w:r>
          </w:p>
          <w:p>
            <w:pPr>
              <w:pStyle w:val="TableText"/>
              <w:ind w:left="180"/>
              <w:spacing w:before="76" w:line="219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4"/>
              </w:rPr>
              <w:t>说</w:t>
            </w:r>
            <w:r>
              <w:rPr>
                <w:sz w:val="12"/>
                <w:szCs w:val="12"/>
                <w:spacing w:val="16"/>
                <w:w w:val="101"/>
              </w:rPr>
              <w:t xml:space="preserve"> </w:t>
            </w:r>
            <w:r>
              <w:rPr>
                <w:sz w:val="12"/>
                <w:szCs w:val="12"/>
                <w:spacing w:val="-4"/>
              </w:rPr>
              <w:t>明</w:t>
            </w:r>
          </w:p>
          <w:p>
            <w:pPr>
              <w:pStyle w:val="TableText"/>
              <w:ind w:left="180"/>
              <w:spacing w:before="97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3"/>
              </w:rPr>
              <w:t>情</w:t>
            </w:r>
            <w:r>
              <w:rPr>
                <w:sz w:val="12"/>
                <w:szCs w:val="12"/>
                <w:spacing w:val="5"/>
              </w:rPr>
              <w:t xml:space="preserve"> </w:t>
            </w:r>
            <w:r>
              <w:rPr>
                <w:sz w:val="12"/>
                <w:szCs w:val="12"/>
                <w:spacing w:val="-3"/>
              </w:rPr>
              <w:t>况</w:t>
            </w:r>
          </w:p>
        </w:tc>
        <w:tc>
          <w:tcPr>
            <w:tcW w:w="13476" w:type="dxa"/>
            <w:vAlign w:val="top"/>
            <w:gridSpan w:val="2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"/>
        <w:spacing w:before="18" w:line="219" w:lineRule="auto"/>
        <w:rPr>
          <w:rFonts w:ascii="SimSun" w:hAnsi="SimSun" w:eastAsia="SimSun" w:cs="SimSun"/>
          <w:sz w:val="11"/>
          <w:szCs w:val="11"/>
        </w:rPr>
      </w:pPr>
      <w:r>
        <w:rPr>
          <w:rFonts w:ascii="SimSun" w:hAnsi="SimSun" w:eastAsia="SimSun" w:cs="SimSun"/>
          <w:sz w:val="11"/>
          <w:szCs w:val="11"/>
        </w:rPr>
        <w:t>注：1.此表一式三份，即区粮食和储备局</w:t>
      </w:r>
      <w:r>
        <w:rPr>
          <w:rFonts w:ascii="SimSun" w:hAnsi="SimSun" w:eastAsia="SimSun" w:cs="SimSun"/>
          <w:sz w:val="11"/>
          <w:szCs w:val="11"/>
          <w:spacing w:val="-1"/>
        </w:rPr>
        <w:t>、接收单位、供货单位各一份。</w:t>
      </w:r>
    </w:p>
    <w:p>
      <w:pPr>
        <w:ind w:left="289"/>
        <w:spacing w:before="149" w:line="219" w:lineRule="auto"/>
        <w:rPr>
          <w:rFonts w:ascii="SimSun" w:hAnsi="SimSun" w:eastAsia="SimSun" w:cs="SimSun"/>
          <w:sz w:val="10"/>
          <w:szCs w:val="10"/>
        </w:rPr>
      </w:pPr>
      <w:r>
        <w:rPr>
          <w:rFonts w:ascii="SimSun" w:hAnsi="SimSun" w:eastAsia="SimSun" w:cs="SimSun"/>
          <w:sz w:val="10"/>
          <w:szCs w:val="10"/>
          <w:spacing w:val="4"/>
        </w:rPr>
        <w:t>2.此表格要求用计算机填报。</w:t>
      </w:r>
    </w:p>
    <w:p>
      <w:pPr>
        <w:spacing w:line="219" w:lineRule="auto"/>
        <w:sectPr>
          <w:pgSz w:w="16830" w:h="11900"/>
          <w:pgMar w:top="926" w:right="1514" w:bottom="400" w:left="1149" w:header="0" w:footer="0" w:gutter="0"/>
        </w:sectPr>
        <w:rPr>
          <w:rFonts w:ascii="SimSun" w:hAnsi="SimSun" w:eastAsia="SimSun" w:cs="SimSun"/>
          <w:sz w:val="10"/>
          <w:szCs w:val="10"/>
        </w:rPr>
      </w:pPr>
    </w:p>
    <w:p>
      <w:pPr>
        <w:ind w:left="22"/>
        <w:spacing w:before="39" w:line="224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1"/>
        </w:rPr>
        <w:t>附件2-3</w:t>
      </w:r>
    </w:p>
    <w:p>
      <w:pPr>
        <w:ind w:left="4164"/>
        <w:spacing w:before="13" w:line="22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2"/>
        </w:rPr>
        <w:t>北京市大兴区储备原粮入库质量情况统计表(面粉)</w:t>
      </w:r>
    </w:p>
    <w:p>
      <w:pPr>
        <w:ind w:left="30"/>
        <w:spacing w:before="250" w:line="206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</w:rPr>
        <w:t>填报单位：                                                                                                                    填报日期：</w:t>
      </w:r>
    </w:p>
    <w:tbl>
      <w:tblPr>
        <w:tblStyle w:val="TableNormal"/>
        <w:tblW w:w="14659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4"/>
        <w:gridCol w:w="1399"/>
        <w:gridCol w:w="1179"/>
        <w:gridCol w:w="1159"/>
        <w:gridCol w:w="889"/>
        <w:gridCol w:w="690"/>
        <w:gridCol w:w="740"/>
        <w:gridCol w:w="700"/>
        <w:gridCol w:w="710"/>
        <w:gridCol w:w="809"/>
        <w:gridCol w:w="819"/>
        <w:gridCol w:w="729"/>
        <w:gridCol w:w="650"/>
        <w:gridCol w:w="639"/>
        <w:gridCol w:w="1049"/>
        <w:gridCol w:w="650"/>
        <w:gridCol w:w="864"/>
      </w:tblGrid>
      <w:tr>
        <w:trPr>
          <w:trHeight w:val="514" w:hRule="atLeast"/>
        </w:trPr>
        <w:tc>
          <w:tcPr>
            <w:tcW w:w="984" w:type="dxa"/>
            <w:vAlign w:val="top"/>
          </w:tcPr>
          <w:p>
            <w:pPr>
              <w:pStyle w:val="TableText"/>
              <w:ind w:left="314"/>
              <w:spacing w:before="172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发站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380"/>
              <w:spacing w:before="170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发货单位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271"/>
              <w:spacing w:before="172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4"/>
              </w:rPr>
              <w:t>到达时间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423"/>
              <w:spacing w:before="172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车号</w:t>
            </w:r>
          </w:p>
        </w:tc>
        <w:tc>
          <w:tcPr>
            <w:tcW w:w="889" w:type="dxa"/>
            <w:vAlign w:val="top"/>
          </w:tcPr>
          <w:p>
            <w:pPr>
              <w:pStyle w:val="TableText"/>
              <w:ind w:left="294"/>
              <w:spacing w:before="172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6"/>
              </w:rPr>
              <w:t>品种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64"/>
              <w:spacing w:before="62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规格</w:t>
            </w:r>
          </w:p>
          <w:p>
            <w:pPr>
              <w:pStyle w:val="TableText"/>
              <w:ind w:left="84"/>
              <w:spacing w:before="8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9"/>
              </w:rPr>
              <w:t>(公斤)</w:t>
            </w:r>
          </w:p>
        </w:tc>
        <w:tc>
          <w:tcPr>
            <w:tcW w:w="740" w:type="dxa"/>
            <w:vAlign w:val="top"/>
          </w:tcPr>
          <w:p>
            <w:pPr>
              <w:pStyle w:val="TableText"/>
              <w:ind w:left="194"/>
              <w:spacing w:before="72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数量</w:t>
            </w:r>
          </w:p>
          <w:p>
            <w:pPr>
              <w:pStyle w:val="TableText"/>
              <w:ind w:left="194"/>
              <w:spacing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12"/>
              </w:rPr>
              <w:t>(吨)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74"/>
              <w:spacing w:before="72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水分</w:t>
            </w:r>
          </w:p>
          <w:p>
            <w:pPr>
              <w:pStyle w:val="TableText"/>
              <w:ind w:left="214"/>
              <w:spacing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(%)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73" w:hanging="159"/>
              <w:spacing w:before="81" w:line="21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7"/>
                <w:w w:val="99"/>
              </w:rPr>
              <w:t>面筋质</w:t>
            </w:r>
            <w:r>
              <w:rPr>
                <w:sz w:val="17"/>
                <w:szCs w:val="17"/>
                <w:spacing w:val="-16"/>
                <w:w w:val="99"/>
              </w:rPr>
              <w:t>(</w:t>
            </w:r>
            <w:r>
              <w:rPr>
                <w:sz w:val="17"/>
                <w:szCs w:val="17"/>
                <w:spacing w:val="-8"/>
                <w:w w:val="99"/>
              </w:rPr>
              <w:t>湿</w:t>
            </w:r>
            <w:r>
              <w:rPr>
                <w:sz w:val="17"/>
                <w:szCs w:val="17"/>
                <w:spacing w:val="1"/>
              </w:rPr>
              <w:t xml:space="preserve"> </w:t>
            </w:r>
            <w:r>
              <w:rPr>
                <w:sz w:val="17"/>
                <w:szCs w:val="17"/>
                <w:spacing w:val="12"/>
              </w:rPr>
              <w:t>基%)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spacing w:before="83" w:line="21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6"/>
              </w:rPr>
              <w:t>磁</w:t>
            </w:r>
            <w:r>
              <w:rPr>
                <w:sz w:val="17"/>
                <w:szCs w:val="17"/>
                <w:spacing w:val="-15"/>
              </w:rPr>
              <w:t>性金属</w:t>
            </w:r>
            <w:r>
              <w:rPr>
                <w:sz w:val="17"/>
                <w:szCs w:val="17"/>
                <w:spacing w:val="-9"/>
              </w:rPr>
              <w:t>物</w:t>
            </w:r>
          </w:p>
          <w:p>
            <w:pPr>
              <w:pStyle w:val="TableText"/>
              <w:ind w:left="144"/>
              <w:spacing w:line="21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6"/>
              </w:rPr>
              <w:t>(g/kg)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05"/>
              <w:spacing w:before="170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加工精度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spacing w:before="172" w:line="219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1"/>
              </w:rPr>
              <w:t>含砂量(%)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148"/>
              <w:spacing w:before="62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灰分</w:t>
            </w:r>
          </w:p>
          <w:p>
            <w:pPr>
              <w:pStyle w:val="TableText"/>
              <w:spacing w:before="17" w:line="219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</w:rPr>
              <w:t>(干基%)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43" w:hanging="86"/>
              <w:spacing w:before="61" w:line="23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2"/>
              </w:rPr>
              <w:t>气</w:t>
            </w:r>
            <w:r>
              <w:rPr>
                <w:sz w:val="17"/>
                <w:szCs w:val="17"/>
                <w:spacing w:val="-15"/>
              </w:rPr>
              <w:t xml:space="preserve"> </w:t>
            </w:r>
            <w:r>
              <w:rPr>
                <w:sz w:val="17"/>
                <w:szCs w:val="17"/>
                <w:spacing w:val="-22"/>
              </w:rPr>
              <w:t>味</w:t>
            </w:r>
            <w:r>
              <w:rPr>
                <w:sz w:val="17"/>
                <w:szCs w:val="17"/>
                <w:spacing w:val="-29"/>
              </w:rPr>
              <w:t xml:space="preserve"> </w:t>
            </w:r>
            <w:r>
              <w:rPr>
                <w:sz w:val="17"/>
                <w:szCs w:val="17"/>
                <w:spacing w:val="-22"/>
              </w:rPr>
              <w:t>、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6"/>
              </w:rPr>
              <w:t>口味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79"/>
              <w:spacing w:before="72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脂肪酸值</w:t>
            </w:r>
          </w:p>
          <w:p>
            <w:pPr>
              <w:pStyle w:val="TableText"/>
              <w:ind w:left="9"/>
              <w:spacing w:before="12" w:line="21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(mgkoH/100g)</w:t>
            </w:r>
          </w:p>
        </w:tc>
        <w:tc>
          <w:tcPr>
            <w:tcW w:w="650" w:type="dxa"/>
            <w:vAlign w:val="top"/>
          </w:tcPr>
          <w:p>
            <w:pPr>
              <w:pStyle w:val="TableText"/>
              <w:ind w:left="69"/>
              <w:spacing w:before="60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精细度</w:t>
            </w:r>
          </w:p>
          <w:p>
            <w:pPr>
              <w:pStyle w:val="TableText"/>
              <w:ind w:left="189"/>
              <w:spacing w:before="22" w:line="22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9"/>
              </w:rPr>
              <w:t>(%)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left="38" w:hanging="19"/>
              <w:spacing w:before="61" w:line="23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过氧化笨甲</w:t>
            </w:r>
            <w:r>
              <w:rPr>
                <w:sz w:val="17"/>
                <w:szCs w:val="17"/>
                <w:spacing w:val="3"/>
              </w:rPr>
              <w:t xml:space="preserve"> </w:t>
            </w:r>
            <w:r>
              <w:rPr>
                <w:sz w:val="17"/>
                <w:szCs w:val="17"/>
                <w:spacing w:val="8"/>
              </w:rPr>
              <w:t>酰(</w:t>
            </w:r>
            <w:r>
              <w:rPr>
                <w:sz w:val="17"/>
                <w:szCs w:val="17"/>
              </w:rPr>
              <w:t>mg</w:t>
            </w:r>
            <w:r>
              <w:rPr>
                <w:sz w:val="17"/>
                <w:szCs w:val="17"/>
                <w:spacing w:val="8"/>
              </w:rPr>
              <w:t>/</w:t>
            </w:r>
            <w:r>
              <w:rPr>
                <w:sz w:val="17"/>
                <w:szCs w:val="17"/>
              </w:rPr>
              <w:t>kg</w:t>
            </w:r>
            <w:r>
              <w:rPr>
                <w:sz w:val="17"/>
                <w:szCs w:val="17"/>
                <w:spacing w:val="8"/>
              </w:rPr>
              <w:t>)</w:t>
            </w:r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9" w:hRule="atLeast"/>
        </w:trPr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84" w:hRule="atLeast"/>
        </w:trPr>
        <w:tc>
          <w:tcPr>
            <w:tcW w:w="984" w:type="dxa"/>
            <w:vAlign w:val="top"/>
          </w:tcPr>
          <w:p>
            <w:pPr>
              <w:pStyle w:val="TableText"/>
              <w:ind w:left="164" w:right="150" w:firstLine="59"/>
              <w:spacing w:before="57" w:line="38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1"/>
              </w:rPr>
              <w:t>还</w:t>
            </w:r>
            <w:r>
              <w:rPr>
                <w:sz w:val="17"/>
                <w:szCs w:val="17"/>
                <w:spacing w:val="7"/>
              </w:rPr>
              <w:t xml:space="preserve">  </w:t>
            </w:r>
            <w:r>
              <w:rPr>
                <w:sz w:val="17"/>
                <w:szCs w:val="17"/>
                <w:spacing w:val="-11"/>
              </w:rPr>
              <w:t>需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  <w:spacing w:val="-16"/>
              </w:rPr>
              <w:t>说</w:t>
            </w:r>
            <w:r>
              <w:rPr>
                <w:sz w:val="17"/>
                <w:szCs w:val="17"/>
                <w:spacing w:val="2"/>
              </w:rPr>
              <w:t xml:space="preserve">    </w:t>
            </w:r>
            <w:r>
              <w:rPr>
                <w:sz w:val="17"/>
                <w:szCs w:val="17"/>
                <w:spacing w:val="-16"/>
              </w:rPr>
              <w:t>明</w:t>
            </w:r>
          </w:p>
          <w:p>
            <w:pPr>
              <w:pStyle w:val="TableText"/>
              <w:ind w:left="164"/>
              <w:spacing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情</w:t>
            </w:r>
            <w:r>
              <w:rPr>
                <w:sz w:val="17"/>
                <w:szCs w:val="17"/>
                <w:spacing w:val="22"/>
              </w:rPr>
              <w:t xml:space="preserve">   </w:t>
            </w:r>
            <w:r>
              <w:rPr>
                <w:sz w:val="17"/>
                <w:szCs w:val="17"/>
                <w:spacing w:val="-4"/>
              </w:rPr>
              <w:t>况</w:t>
            </w:r>
          </w:p>
        </w:tc>
        <w:tc>
          <w:tcPr>
            <w:tcW w:w="13675" w:type="dxa"/>
            <w:vAlign w:val="top"/>
            <w:gridSpan w:val="1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10" w:line="219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</w:rPr>
        <w:t>注：1.此表一式三份，即区粮食和储备局、接收单位、供货单位各一份。</w:t>
      </w:r>
    </w:p>
    <w:p>
      <w:pPr>
        <w:ind w:left="410"/>
        <w:spacing w:before="210" w:line="219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spacing w:val="2"/>
        </w:rPr>
        <w:t>2.此表格要求用计算机填报。</w:t>
      </w:r>
    </w:p>
    <w:sectPr>
      <w:pgSz w:w="16830" w:h="11900"/>
      <w:pgMar w:top="948" w:right="1235" w:bottom="400" w:left="91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—8—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—9—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2"/>
      </w:rPr>
      <w:t>—10—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3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10"/>
      </w:rPr>
      <w:t>—11—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9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—1—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9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9"/>
      </w:rPr>
      <w:t>—2—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—4—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—6—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9"/>
      <w:spacing w:line="231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0" Type="http://schemas.openxmlformats.org/officeDocument/2006/relationships/fontTable" Target="fontTable.xml"/><Relationship Id="rId2" Type="http://schemas.openxmlformats.org/officeDocument/2006/relationships/image" Target="media/image1.jpe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2025-08-06T15:33:45Z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2025-08-06T15:33:47</vt:filetime>
  </property>
  <property fmtid="{D5CDD505-2E9C-101B-9397-08002B2CF9AE}" pid="4" name="UsrData">
    <vt:lpwstr>689305556b6b96001ff5b02awl</vt:lpwstr>
  </property>
</Properties>
</file>