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6F762">
      <w:pPr>
        <w:rPr>
          <w:rFonts w:hint="eastAsia" w:ascii="黑体" w:hAnsi="黑体" w:eastAsia="黑体" w:cs="黑体"/>
          <w:sz w:val="32"/>
          <w:szCs w:val="32"/>
        </w:rPr>
      </w:pPr>
      <w:r>
        <w:rPr>
          <w:rFonts w:hint="eastAsia" w:ascii="黑体" w:hAnsi="黑体" w:eastAsia="黑体" w:cs="黑体"/>
          <w:sz w:val="32"/>
          <w:szCs w:val="32"/>
        </w:rPr>
        <w:t>附件4</w:t>
      </w:r>
    </w:p>
    <w:p w14:paraId="1857D7ED">
      <w:pPr>
        <w:pStyle w:val="6"/>
        <w:keepNext w:val="0"/>
        <w:keepLines w:val="0"/>
        <w:pageBreakBefore w:val="0"/>
        <w:widowControl w:val="0"/>
        <w:kinsoku/>
        <w:wordWrap/>
        <w:overflowPunct/>
        <w:topLinePunct w:val="0"/>
        <w:autoSpaceDE/>
        <w:autoSpaceDN/>
        <w:bidi w:val="0"/>
        <w:adjustRightInd/>
        <w:snapToGrid w:val="0"/>
        <w:spacing w:before="313" w:beforeLines="100" w:line="240" w:lineRule="auto"/>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大兴区应对气候变化2025年行动计划</w:t>
      </w:r>
      <w:bookmarkEnd w:id="0"/>
    </w:p>
    <w:tbl>
      <w:tblPr>
        <w:tblStyle w:val="7"/>
        <w:tblpPr w:leftFromText="181" w:rightFromText="181" w:vertAnchor="text" w:horzAnchor="page" w:tblpX="1549" w:tblpY="3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104"/>
        <w:gridCol w:w="3828"/>
        <w:gridCol w:w="684"/>
        <w:gridCol w:w="1369"/>
        <w:gridCol w:w="1475"/>
      </w:tblGrid>
      <w:tr w14:paraId="16BC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trPr>
        <w:tc>
          <w:tcPr>
            <w:tcW w:w="564" w:type="dxa"/>
            <w:noWrap w:val="0"/>
            <w:vAlign w:val="center"/>
          </w:tcPr>
          <w:p w14:paraId="14DD8F35">
            <w:pPr>
              <w:keepNext w:val="0"/>
              <w:keepLines w:val="0"/>
              <w:suppressLineNumbers w:val="0"/>
              <w:snapToGrid w:val="0"/>
              <w:spacing w:before="0" w:beforeAutospacing="0" w:after="0" w:afterAutospacing="0"/>
              <w:ind w:left="0" w:right="0"/>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1104" w:type="dxa"/>
            <w:noWrap w:val="0"/>
            <w:vAlign w:val="center"/>
          </w:tcPr>
          <w:p w14:paraId="6A7B75B3">
            <w:pPr>
              <w:keepNext w:val="0"/>
              <w:keepLines w:val="0"/>
              <w:suppressLineNumbers w:val="0"/>
              <w:snapToGrid w:val="0"/>
              <w:spacing w:before="0" w:beforeAutospacing="0" w:after="0" w:afterAutospacing="0"/>
              <w:ind w:left="0" w:right="0"/>
              <w:jc w:val="center"/>
              <w:rPr>
                <w:rFonts w:hint="eastAsia" w:ascii="黑体" w:hAnsi="黑体" w:eastAsia="黑体" w:cs="黑体"/>
                <w:kern w:val="0"/>
                <w:sz w:val="21"/>
                <w:szCs w:val="21"/>
              </w:rPr>
            </w:pPr>
            <w:r>
              <w:rPr>
                <w:rFonts w:hint="eastAsia" w:ascii="黑体" w:hAnsi="黑体" w:eastAsia="黑体" w:cs="黑体"/>
                <w:kern w:val="0"/>
                <w:sz w:val="21"/>
                <w:szCs w:val="21"/>
              </w:rPr>
              <w:t>重点任务</w:t>
            </w:r>
          </w:p>
        </w:tc>
        <w:tc>
          <w:tcPr>
            <w:tcW w:w="3828" w:type="dxa"/>
            <w:noWrap w:val="0"/>
            <w:vAlign w:val="center"/>
          </w:tcPr>
          <w:p w14:paraId="4DBF2290">
            <w:pPr>
              <w:keepNext w:val="0"/>
              <w:keepLines w:val="0"/>
              <w:suppressLineNumbers w:val="0"/>
              <w:snapToGrid w:val="0"/>
              <w:spacing w:before="0" w:beforeAutospacing="0" w:after="0" w:afterAutospacing="0"/>
              <w:ind w:left="0" w:right="0"/>
              <w:jc w:val="center"/>
              <w:rPr>
                <w:rFonts w:hint="eastAsia" w:ascii="黑体" w:hAnsi="黑体" w:eastAsia="黑体" w:cs="黑体"/>
                <w:kern w:val="0"/>
                <w:sz w:val="21"/>
                <w:szCs w:val="21"/>
              </w:rPr>
            </w:pPr>
            <w:r>
              <w:rPr>
                <w:rFonts w:hint="eastAsia" w:ascii="黑体" w:hAnsi="黑体" w:eastAsia="黑体" w:cs="黑体"/>
                <w:kern w:val="0"/>
                <w:sz w:val="21"/>
                <w:szCs w:val="21"/>
              </w:rPr>
              <w:t>工作措施</w:t>
            </w:r>
          </w:p>
        </w:tc>
        <w:tc>
          <w:tcPr>
            <w:tcW w:w="684" w:type="dxa"/>
            <w:noWrap w:val="0"/>
            <w:tcMar>
              <w:left w:w="57" w:type="dxa"/>
              <w:right w:w="57" w:type="dxa"/>
            </w:tcMar>
            <w:vAlign w:val="center"/>
          </w:tcPr>
          <w:p w14:paraId="12BBD4EE">
            <w:pPr>
              <w:keepNext w:val="0"/>
              <w:keepLines w:val="0"/>
              <w:suppressLineNumbers w:val="0"/>
              <w:snapToGrid w:val="0"/>
              <w:spacing w:before="0" w:beforeAutospacing="0" w:after="0" w:afterAutospacing="0"/>
              <w:ind w:left="-105" w:leftChars="-50" w:right="-105" w:rightChars="-50"/>
              <w:jc w:val="center"/>
              <w:rPr>
                <w:rFonts w:hint="eastAsia" w:ascii="黑体" w:hAnsi="黑体" w:eastAsia="黑体" w:cs="黑体"/>
                <w:kern w:val="0"/>
                <w:sz w:val="21"/>
                <w:szCs w:val="21"/>
              </w:rPr>
            </w:pPr>
            <w:r>
              <w:rPr>
                <w:rFonts w:hint="eastAsia" w:ascii="黑体" w:hAnsi="黑体" w:eastAsia="黑体" w:cs="黑体"/>
                <w:kern w:val="0"/>
                <w:sz w:val="21"/>
                <w:szCs w:val="21"/>
              </w:rPr>
              <w:t>完成</w:t>
            </w:r>
          </w:p>
          <w:p w14:paraId="4CC542EC">
            <w:pPr>
              <w:keepNext w:val="0"/>
              <w:keepLines w:val="0"/>
              <w:suppressLineNumbers w:val="0"/>
              <w:snapToGrid w:val="0"/>
              <w:spacing w:before="0" w:beforeAutospacing="0" w:after="0" w:afterAutospacing="0"/>
              <w:ind w:left="-105" w:leftChars="-50" w:right="-105" w:rightChars="-50"/>
              <w:jc w:val="center"/>
              <w:rPr>
                <w:rFonts w:hint="eastAsia" w:ascii="黑体" w:hAnsi="黑体" w:eastAsia="黑体" w:cs="黑体"/>
                <w:kern w:val="0"/>
                <w:sz w:val="21"/>
                <w:szCs w:val="21"/>
              </w:rPr>
            </w:pPr>
            <w:r>
              <w:rPr>
                <w:rFonts w:hint="eastAsia" w:ascii="黑体" w:hAnsi="黑体" w:eastAsia="黑体" w:cs="黑体"/>
                <w:kern w:val="0"/>
                <w:sz w:val="21"/>
                <w:szCs w:val="21"/>
              </w:rPr>
              <w:t>时限</w:t>
            </w:r>
          </w:p>
        </w:tc>
        <w:tc>
          <w:tcPr>
            <w:tcW w:w="1369" w:type="dxa"/>
            <w:noWrap w:val="0"/>
            <w:vAlign w:val="center"/>
          </w:tcPr>
          <w:p w14:paraId="396A818B">
            <w:pPr>
              <w:keepNext w:val="0"/>
              <w:keepLines w:val="0"/>
              <w:suppressLineNumbers w:val="0"/>
              <w:snapToGrid w:val="0"/>
              <w:spacing w:before="0" w:beforeAutospacing="0" w:after="0" w:afterAutospacing="0"/>
              <w:ind w:left="-105" w:leftChars="-50" w:right="-105" w:rightChars="-50"/>
              <w:jc w:val="center"/>
              <w:rPr>
                <w:rFonts w:hint="eastAsia" w:ascii="黑体" w:hAnsi="黑体" w:eastAsia="黑体" w:cs="黑体"/>
                <w:kern w:val="0"/>
                <w:sz w:val="21"/>
                <w:szCs w:val="21"/>
              </w:rPr>
            </w:pPr>
            <w:r>
              <w:rPr>
                <w:rFonts w:hint="eastAsia" w:ascii="黑体" w:hAnsi="黑体" w:eastAsia="黑体" w:cs="黑体"/>
                <w:kern w:val="0"/>
                <w:sz w:val="21"/>
                <w:szCs w:val="21"/>
              </w:rPr>
              <w:t>牵头单位</w:t>
            </w:r>
          </w:p>
        </w:tc>
        <w:tc>
          <w:tcPr>
            <w:tcW w:w="1475" w:type="dxa"/>
            <w:noWrap w:val="0"/>
            <w:vAlign w:val="center"/>
          </w:tcPr>
          <w:p w14:paraId="25AAA901">
            <w:pPr>
              <w:keepNext w:val="0"/>
              <w:keepLines w:val="0"/>
              <w:suppressLineNumbers w:val="0"/>
              <w:snapToGrid w:val="0"/>
              <w:spacing w:before="0" w:beforeAutospacing="0" w:after="0" w:afterAutospacing="0"/>
              <w:ind w:left="-105" w:leftChars="-50" w:right="-105" w:rightChars="-50"/>
              <w:jc w:val="center"/>
              <w:rPr>
                <w:rFonts w:hint="eastAsia" w:ascii="黑体" w:hAnsi="黑体" w:eastAsia="黑体" w:cs="黑体"/>
                <w:kern w:val="0"/>
                <w:sz w:val="21"/>
                <w:szCs w:val="21"/>
              </w:rPr>
            </w:pPr>
            <w:r>
              <w:rPr>
                <w:rFonts w:hint="eastAsia" w:ascii="黑体" w:hAnsi="黑体" w:eastAsia="黑体" w:cs="黑体"/>
                <w:kern w:val="0"/>
                <w:sz w:val="21"/>
                <w:szCs w:val="21"/>
              </w:rPr>
              <w:t>协办单位</w:t>
            </w:r>
          </w:p>
        </w:tc>
      </w:tr>
      <w:tr w14:paraId="648F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024" w:type="dxa"/>
            <w:gridSpan w:val="6"/>
            <w:noWrap w:val="0"/>
            <w:vAlign w:val="center"/>
          </w:tcPr>
          <w:p w14:paraId="1B720C3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b/>
                <w:kern w:val="0"/>
                <w:sz w:val="21"/>
                <w:szCs w:val="21"/>
              </w:rPr>
            </w:pPr>
            <w:r>
              <w:rPr>
                <w:rFonts w:hint="eastAsia" w:ascii="黑体" w:hAnsi="黑体" w:eastAsia="黑体" w:cs="黑体"/>
                <w:kern w:val="0"/>
                <w:sz w:val="21"/>
                <w:szCs w:val="21"/>
              </w:rPr>
              <w:t>一、温室气体排放控制目标</w:t>
            </w:r>
          </w:p>
        </w:tc>
      </w:tr>
      <w:tr w14:paraId="0DDF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trPr>
        <w:tc>
          <w:tcPr>
            <w:tcW w:w="564" w:type="dxa"/>
            <w:noWrap w:val="0"/>
            <w:vAlign w:val="center"/>
          </w:tcPr>
          <w:p w14:paraId="47231DAB">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104" w:type="dxa"/>
            <w:noWrap w:val="0"/>
            <w:vAlign w:val="center"/>
          </w:tcPr>
          <w:p w14:paraId="4C64ED6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温室气体排放控制目标</w:t>
            </w:r>
          </w:p>
        </w:tc>
        <w:tc>
          <w:tcPr>
            <w:tcW w:w="3828" w:type="dxa"/>
            <w:noWrap w:val="0"/>
            <w:vAlign w:val="center"/>
          </w:tcPr>
          <w:p w14:paraId="37899249">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完成“十四五”碳排放强度和总量（不含航空客货运输碳排放）控制目标。</w:t>
            </w:r>
          </w:p>
        </w:tc>
        <w:tc>
          <w:tcPr>
            <w:tcW w:w="684" w:type="dxa"/>
            <w:noWrap w:val="0"/>
            <w:vAlign w:val="center"/>
          </w:tcPr>
          <w:p w14:paraId="4E6E1BD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2A78776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5E95FED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475" w:type="dxa"/>
            <w:noWrap w:val="0"/>
            <w:vAlign w:val="center"/>
          </w:tcPr>
          <w:p w14:paraId="3FE41A2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09F594B7">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区经济和信息化局</w:t>
            </w:r>
          </w:p>
          <w:p w14:paraId="2D1E6C5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区住房城乡建设委</w:t>
            </w:r>
          </w:p>
          <w:p w14:paraId="34FC475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区交通局</w:t>
            </w:r>
          </w:p>
          <w:p w14:paraId="3A3FDC9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p w14:paraId="5535684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各镇人民政府</w:t>
            </w:r>
          </w:p>
          <w:p w14:paraId="325A076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各街道办事处</w:t>
            </w:r>
          </w:p>
          <w:p w14:paraId="197BB6B9">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各产业园区管委会</w:t>
            </w:r>
          </w:p>
          <w:p w14:paraId="079D747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临空经济区大兴片区管委会</w:t>
            </w:r>
          </w:p>
        </w:tc>
      </w:tr>
      <w:tr w14:paraId="0809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24" w:type="dxa"/>
            <w:gridSpan w:val="6"/>
            <w:noWrap w:val="0"/>
            <w:vAlign w:val="center"/>
          </w:tcPr>
          <w:p w14:paraId="549558EE">
            <w:pPr>
              <w:keepNext w:val="0"/>
              <w:keepLines w:val="0"/>
              <w:suppressLineNumbers w:val="0"/>
              <w:tabs>
                <w:tab w:val="left" w:pos="10459"/>
              </w:tabs>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黑体" w:hAnsi="黑体" w:eastAsia="黑体" w:cs="黑体"/>
                <w:kern w:val="0"/>
                <w:sz w:val="21"/>
                <w:szCs w:val="21"/>
              </w:rPr>
              <w:t>二、完善应对气候变化综合管理体系</w:t>
            </w:r>
          </w:p>
        </w:tc>
      </w:tr>
      <w:tr w14:paraId="0428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64" w:type="dxa"/>
            <w:vMerge w:val="restart"/>
            <w:noWrap w:val="0"/>
            <w:vAlign w:val="center"/>
          </w:tcPr>
          <w:p w14:paraId="128F316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104" w:type="dxa"/>
            <w:vMerge w:val="restart"/>
            <w:noWrap w:val="0"/>
            <w:vAlign w:val="center"/>
          </w:tcPr>
          <w:p w14:paraId="6C59268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强化碳排放双控制度</w:t>
            </w:r>
          </w:p>
        </w:tc>
        <w:tc>
          <w:tcPr>
            <w:tcW w:w="3828" w:type="dxa"/>
            <w:noWrap w:val="0"/>
            <w:vAlign w:val="center"/>
          </w:tcPr>
          <w:p w14:paraId="157523B0">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深化落实“1+N”碳达峰碳中和制度及各项方案，配合市级</w:t>
            </w:r>
            <w:r>
              <w:rPr>
                <w:rFonts w:hint="eastAsia" w:ascii="仿宋_GB2312" w:hAnsi="仿宋_GB2312" w:eastAsia="仿宋_GB2312" w:cs="仿宋_GB2312"/>
                <w:sz w:val="21"/>
                <w:szCs w:val="21"/>
              </w:rPr>
              <w:t>开展碳排放控制目标和双控制度体系研究</w:t>
            </w:r>
            <w:r>
              <w:rPr>
                <w:rFonts w:hint="eastAsia" w:ascii="仿宋_GB2312" w:hAnsi="仿宋_GB2312" w:eastAsia="仿宋_GB2312" w:cs="仿宋_GB2312"/>
                <w:kern w:val="0"/>
                <w:sz w:val="21"/>
                <w:szCs w:val="21"/>
              </w:rPr>
              <w:t>。</w:t>
            </w:r>
          </w:p>
        </w:tc>
        <w:tc>
          <w:tcPr>
            <w:tcW w:w="684" w:type="dxa"/>
            <w:vMerge w:val="restart"/>
            <w:noWrap w:val="0"/>
            <w:vAlign w:val="center"/>
          </w:tcPr>
          <w:p w14:paraId="7F0E364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2FCBB70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4B3F101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574D3B1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475" w:type="dxa"/>
            <w:noWrap w:val="0"/>
            <w:vAlign w:val="center"/>
          </w:tcPr>
          <w:p w14:paraId="71CCA519">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sz w:val="21"/>
                <w:szCs w:val="21"/>
              </w:rPr>
              <w:t>——</w:t>
            </w:r>
          </w:p>
        </w:tc>
      </w:tr>
      <w:tr w14:paraId="1B2A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64" w:type="dxa"/>
            <w:vMerge w:val="continue"/>
            <w:noWrap w:val="0"/>
            <w:vAlign w:val="center"/>
          </w:tcPr>
          <w:p w14:paraId="4D9EB44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02D87F8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7467ED93">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在建设项目环境影响评价中开展碳排放核算评价，严格控制新建项目碳排放水平。将碳排放管控要求纳入现行重点用能单位管理制度，推动重点用能和碳排放单位落实节能降碳管理要求。</w:t>
            </w:r>
          </w:p>
          <w:p w14:paraId="2DD9DA6E">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推动重点碳排放单位建立碳排放管理体系，强化岗位管理责任、完善报告制度、鼓励主动披露碳排放信息。</w:t>
            </w:r>
          </w:p>
        </w:tc>
        <w:tc>
          <w:tcPr>
            <w:tcW w:w="684" w:type="dxa"/>
            <w:vMerge w:val="continue"/>
            <w:noWrap w:val="0"/>
            <w:vAlign w:val="center"/>
          </w:tcPr>
          <w:p w14:paraId="6078EA6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p>
        </w:tc>
        <w:tc>
          <w:tcPr>
            <w:tcW w:w="1369" w:type="dxa"/>
            <w:noWrap w:val="0"/>
            <w:vAlign w:val="center"/>
          </w:tcPr>
          <w:p w14:paraId="4EEF9607">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73ECDDE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5FF3109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临空经济区大兴片区管委会</w:t>
            </w:r>
          </w:p>
        </w:tc>
        <w:tc>
          <w:tcPr>
            <w:tcW w:w="1475" w:type="dxa"/>
            <w:noWrap w:val="0"/>
            <w:vAlign w:val="center"/>
          </w:tcPr>
          <w:p w14:paraId="2367025E">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各镇人民政府</w:t>
            </w:r>
          </w:p>
          <w:p w14:paraId="3A0623F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各街道办事处</w:t>
            </w:r>
          </w:p>
          <w:p w14:paraId="75E3B09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各产业园区管委会</w:t>
            </w:r>
          </w:p>
        </w:tc>
      </w:tr>
      <w:tr w14:paraId="6360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64" w:type="dxa"/>
            <w:vMerge w:val="restart"/>
            <w:noWrap w:val="0"/>
            <w:vAlign w:val="center"/>
          </w:tcPr>
          <w:p w14:paraId="41A850C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104" w:type="dxa"/>
            <w:vMerge w:val="restart"/>
            <w:noWrap w:val="0"/>
            <w:vAlign w:val="center"/>
          </w:tcPr>
          <w:p w14:paraId="2DDC193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推进碳排放权交易体系建设</w:t>
            </w:r>
          </w:p>
        </w:tc>
        <w:tc>
          <w:tcPr>
            <w:tcW w:w="3828" w:type="dxa"/>
            <w:noWrap w:val="0"/>
            <w:vAlign w:val="center"/>
          </w:tcPr>
          <w:p w14:paraId="41EEDEFC">
            <w:pPr>
              <w:keepNext w:val="0"/>
              <w:keepLines w:val="0"/>
              <w:suppressLineNumbers w:val="0"/>
              <w:snapToGrid w:val="0"/>
              <w:spacing w:before="0" w:beforeAutospacing="0" w:after="0" w:afterAutospacing="0"/>
              <w:ind w:left="0" w:right="44" w:rightChars="21"/>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组织本区纳入全国碳市场的重点排放单位,按照国家要求完成数据</w:t>
            </w:r>
            <w:r>
              <w:rPr>
                <w:rFonts w:hint="eastAsia" w:ascii="仿宋_GB2312" w:hAnsi="仿宋_GB2312" w:eastAsia="仿宋_GB2312" w:cs="仿宋_GB2312"/>
                <w:kern w:val="0"/>
                <w:sz w:val="21"/>
                <w:szCs w:val="21"/>
                <w:lang w:eastAsia="zh-CN"/>
              </w:rPr>
              <w:t>报告</w:t>
            </w:r>
            <w:r>
              <w:rPr>
                <w:rFonts w:hint="eastAsia" w:ascii="仿宋_GB2312" w:hAnsi="仿宋_GB2312" w:eastAsia="仿宋_GB2312" w:cs="仿宋_GB2312"/>
                <w:kern w:val="0"/>
                <w:sz w:val="21"/>
                <w:szCs w:val="21"/>
              </w:rPr>
              <w:t>等工作。</w:t>
            </w:r>
          </w:p>
        </w:tc>
        <w:tc>
          <w:tcPr>
            <w:tcW w:w="684" w:type="dxa"/>
            <w:noWrap w:val="0"/>
            <w:vAlign w:val="center"/>
          </w:tcPr>
          <w:p w14:paraId="39BE968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408E929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4F1DD64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475" w:type="dxa"/>
            <w:noWrap w:val="0"/>
            <w:vAlign w:val="center"/>
          </w:tcPr>
          <w:p w14:paraId="08C8EB0B">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40CF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64" w:type="dxa"/>
            <w:vMerge w:val="continue"/>
            <w:noWrap w:val="0"/>
            <w:vAlign w:val="center"/>
          </w:tcPr>
          <w:p w14:paraId="5F9B51D7">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73475D7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4A15ABA2">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按照市级部门要求，开展</w:t>
            </w:r>
            <w:r>
              <w:rPr>
                <w:rFonts w:hint="eastAsia" w:ascii="仿宋_GB2312" w:hAnsi="仿宋_GB2312" w:eastAsia="仿宋_GB2312" w:cs="仿宋_GB2312"/>
                <w:kern w:val="0"/>
                <w:sz w:val="21"/>
                <w:szCs w:val="21"/>
                <w:lang w:val="en-US" w:eastAsia="zh-CN"/>
              </w:rPr>
              <w:t>北京市</w:t>
            </w:r>
            <w:r>
              <w:rPr>
                <w:rFonts w:hint="eastAsia" w:ascii="仿宋_GB2312" w:hAnsi="仿宋_GB2312" w:eastAsia="仿宋_GB2312" w:cs="仿宋_GB2312"/>
                <w:kern w:val="0"/>
                <w:sz w:val="21"/>
                <w:szCs w:val="21"/>
              </w:rPr>
              <w:t>年度碳排放权交易工作，确定重点排放单位名单，督促重点排放单位完成数据审核、报送和核查、监督履约等工作。</w:t>
            </w:r>
          </w:p>
        </w:tc>
        <w:tc>
          <w:tcPr>
            <w:tcW w:w="684" w:type="dxa"/>
            <w:noWrap w:val="0"/>
            <w:vAlign w:val="center"/>
          </w:tcPr>
          <w:p w14:paraId="76E9C76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465DD6C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5A64973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475" w:type="dxa"/>
            <w:noWrap w:val="0"/>
            <w:vAlign w:val="center"/>
          </w:tcPr>
          <w:p w14:paraId="5CBE01E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40B4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564" w:type="dxa"/>
            <w:vMerge w:val="restart"/>
            <w:noWrap w:val="0"/>
            <w:vAlign w:val="center"/>
          </w:tcPr>
          <w:p w14:paraId="76C06DA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104" w:type="dxa"/>
            <w:vMerge w:val="restart"/>
            <w:noWrap w:val="0"/>
            <w:vAlign w:val="center"/>
          </w:tcPr>
          <w:p w14:paraId="33323CF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强化低碳试点示范</w:t>
            </w:r>
          </w:p>
        </w:tc>
        <w:tc>
          <w:tcPr>
            <w:tcW w:w="3828" w:type="dxa"/>
            <w:noWrap w:val="0"/>
            <w:vAlign w:val="center"/>
          </w:tcPr>
          <w:p w14:paraId="04F6A39D">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稳步推进减污降碳协同创新试点建设。</w:t>
            </w:r>
          </w:p>
        </w:tc>
        <w:tc>
          <w:tcPr>
            <w:tcW w:w="684" w:type="dxa"/>
            <w:noWrap w:val="0"/>
            <w:vAlign w:val="center"/>
          </w:tcPr>
          <w:p w14:paraId="6240F7A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年底前</w:t>
            </w:r>
          </w:p>
        </w:tc>
        <w:tc>
          <w:tcPr>
            <w:tcW w:w="1369" w:type="dxa"/>
            <w:noWrap w:val="0"/>
            <w:vAlign w:val="center"/>
          </w:tcPr>
          <w:p w14:paraId="5183DDF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475" w:type="dxa"/>
            <w:noWrap w:val="0"/>
            <w:vAlign w:val="center"/>
          </w:tcPr>
          <w:p w14:paraId="5BE0A1C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788A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564" w:type="dxa"/>
            <w:vMerge w:val="continue"/>
            <w:noWrap w:val="0"/>
            <w:vAlign w:val="center"/>
          </w:tcPr>
          <w:p w14:paraId="5B76651B">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26E2E85B">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1EEB4A4B">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持续开展先进低碳技术项目试点示范。挖掘储能、绿电、新材料、氢能、碳捕集及利用、非二氧化碳治理等先进低碳试点。</w:t>
            </w:r>
          </w:p>
        </w:tc>
        <w:tc>
          <w:tcPr>
            <w:tcW w:w="684" w:type="dxa"/>
            <w:noWrap w:val="0"/>
            <w:vAlign w:val="center"/>
          </w:tcPr>
          <w:p w14:paraId="7FE72E9B">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年底前</w:t>
            </w:r>
          </w:p>
        </w:tc>
        <w:tc>
          <w:tcPr>
            <w:tcW w:w="1369" w:type="dxa"/>
            <w:noWrap w:val="0"/>
            <w:vAlign w:val="center"/>
          </w:tcPr>
          <w:p w14:paraId="43AE380B">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区科委</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区发展改革委</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区经济和信息化局</w:t>
            </w:r>
          </w:p>
        </w:tc>
        <w:tc>
          <w:tcPr>
            <w:tcW w:w="1475" w:type="dxa"/>
            <w:noWrap w:val="0"/>
            <w:vAlign w:val="center"/>
          </w:tcPr>
          <w:p w14:paraId="190C7E2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区交通局</w:t>
            </w:r>
          </w:p>
        </w:tc>
      </w:tr>
      <w:tr w14:paraId="388B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564" w:type="dxa"/>
            <w:vMerge w:val="continue"/>
            <w:noWrap w:val="0"/>
            <w:vAlign w:val="center"/>
          </w:tcPr>
          <w:p w14:paraId="5EA6AA8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31B98AA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662ADD06">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积极开展低碳试点示范，加强项目征集和组织实施，组织动员辖区重点碳排放单位申报相关试点项目，做好各类区域低碳发展规划和建设。鼓励属地积极开展并组织申报低碳试点。</w:t>
            </w:r>
          </w:p>
        </w:tc>
        <w:tc>
          <w:tcPr>
            <w:tcW w:w="684" w:type="dxa"/>
            <w:noWrap w:val="0"/>
            <w:vAlign w:val="center"/>
          </w:tcPr>
          <w:p w14:paraId="4CE09D8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年底前</w:t>
            </w:r>
          </w:p>
        </w:tc>
        <w:tc>
          <w:tcPr>
            <w:tcW w:w="1369" w:type="dxa"/>
            <w:noWrap w:val="0"/>
            <w:vAlign w:val="center"/>
          </w:tcPr>
          <w:p w14:paraId="160994F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708F569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tc>
        <w:tc>
          <w:tcPr>
            <w:tcW w:w="1475" w:type="dxa"/>
            <w:noWrap w:val="0"/>
            <w:vAlign w:val="center"/>
          </w:tcPr>
          <w:p w14:paraId="50A1093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各镇人民政府</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各街道办事处</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rPr>
              <w:t>各产业园区管委会</w:t>
            </w:r>
          </w:p>
          <w:p w14:paraId="4640391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临空经济区大兴片区管委会</w:t>
            </w:r>
          </w:p>
        </w:tc>
      </w:tr>
      <w:tr w14:paraId="03E8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64" w:type="dxa"/>
            <w:vMerge w:val="continue"/>
            <w:noWrap w:val="0"/>
            <w:vAlign w:val="center"/>
          </w:tcPr>
          <w:p w14:paraId="7447524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7D5B98A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6DC1E2EA">
            <w:pPr>
              <w:keepNext w:val="0"/>
              <w:keepLines w:val="0"/>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持续推动碳中和示范校联盟建设，构建大兴区绿色低碳发展教育体系。</w:t>
            </w:r>
          </w:p>
        </w:tc>
        <w:tc>
          <w:tcPr>
            <w:tcW w:w="684" w:type="dxa"/>
            <w:noWrap w:val="0"/>
            <w:vAlign w:val="center"/>
          </w:tcPr>
          <w:p w14:paraId="51D7E98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年底前</w:t>
            </w:r>
          </w:p>
        </w:tc>
        <w:tc>
          <w:tcPr>
            <w:tcW w:w="1369" w:type="dxa"/>
            <w:noWrap w:val="0"/>
            <w:vAlign w:val="center"/>
          </w:tcPr>
          <w:p w14:paraId="50680FC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区教委</w:t>
            </w:r>
          </w:p>
        </w:tc>
        <w:tc>
          <w:tcPr>
            <w:tcW w:w="1475" w:type="dxa"/>
            <w:noWrap w:val="0"/>
            <w:vAlign w:val="center"/>
          </w:tcPr>
          <w:p w14:paraId="42F00D7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r>
      <w:tr w14:paraId="7701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24" w:type="dxa"/>
            <w:gridSpan w:val="6"/>
            <w:noWrap w:val="0"/>
            <w:vAlign w:val="center"/>
          </w:tcPr>
          <w:p w14:paraId="7BC37AC2">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黑体" w:hAnsi="黑体" w:eastAsia="黑体" w:cs="黑体"/>
                <w:kern w:val="0"/>
                <w:sz w:val="21"/>
                <w:szCs w:val="21"/>
              </w:rPr>
              <w:t>三、深入推进重点领域温室气体排放控制工作</w:t>
            </w:r>
          </w:p>
        </w:tc>
      </w:tr>
      <w:tr w14:paraId="7EBD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564" w:type="dxa"/>
            <w:vMerge w:val="restart"/>
            <w:noWrap w:val="0"/>
            <w:vAlign w:val="center"/>
          </w:tcPr>
          <w:p w14:paraId="165F37F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1104" w:type="dxa"/>
            <w:vMerge w:val="restart"/>
            <w:noWrap w:val="0"/>
            <w:vAlign w:val="center"/>
          </w:tcPr>
          <w:p w14:paraId="33EB8AC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推进能源低碳化发展</w:t>
            </w:r>
          </w:p>
        </w:tc>
        <w:tc>
          <w:tcPr>
            <w:tcW w:w="3828" w:type="dxa"/>
            <w:noWrap w:val="0"/>
            <w:vAlign w:val="center"/>
          </w:tcPr>
          <w:p w14:paraId="55926F07">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大力开展能源节约和能效提升，</w:t>
            </w:r>
            <w:r>
              <w:rPr>
                <w:rFonts w:hint="eastAsia" w:ascii="仿宋_GB2312" w:hAnsi="仿宋_GB2312" w:eastAsia="仿宋_GB2312" w:cs="仿宋_GB2312"/>
                <w:sz w:val="21"/>
                <w:szCs w:val="21"/>
              </w:rPr>
              <w:t>万元GDP能耗下降达到市级要求</w:t>
            </w:r>
            <w:r>
              <w:rPr>
                <w:rFonts w:hint="eastAsia" w:ascii="仿宋_GB2312" w:hAnsi="仿宋_GB2312" w:eastAsia="仿宋_GB2312" w:cs="仿宋_GB2312"/>
                <w:kern w:val="0"/>
                <w:sz w:val="21"/>
                <w:szCs w:val="21"/>
              </w:rPr>
              <w:t>。严控化石能源消费总量，天然气消费总量得到有效控制。</w:t>
            </w:r>
          </w:p>
        </w:tc>
        <w:tc>
          <w:tcPr>
            <w:tcW w:w="684" w:type="dxa"/>
            <w:noWrap w:val="0"/>
            <w:vAlign w:val="center"/>
          </w:tcPr>
          <w:p w14:paraId="013A32AB">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13742B07">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3254A65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263FAB6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区城市管理委</w:t>
            </w:r>
          </w:p>
        </w:tc>
        <w:tc>
          <w:tcPr>
            <w:tcW w:w="1475" w:type="dxa"/>
            <w:noWrap w:val="0"/>
            <w:vAlign w:val="center"/>
          </w:tcPr>
          <w:p w14:paraId="71816E27">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5147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564" w:type="dxa"/>
            <w:vMerge w:val="continue"/>
            <w:noWrap w:val="0"/>
            <w:vAlign w:val="center"/>
          </w:tcPr>
          <w:p w14:paraId="3FFB0F4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4A33AEC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7846DB92">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落实本市可再生能源替代方案，新增能源消费优先由可再生能源提供，2025年可再生能源消费占比达到市级要求。</w:t>
            </w:r>
          </w:p>
        </w:tc>
        <w:tc>
          <w:tcPr>
            <w:tcW w:w="684" w:type="dxa"/>
            <w:noWrap w:val="0"/>
            <w:vAlign w:val="center"/>
          </w:tcPr>
          <w:p w14:paraId="2C62BC2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3C071637">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55C2662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030E02A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tc>
        <w:tc>
          <w:tcPr>
            <w:tcW w:w="1475" w:type="dxa"/>
            <w:noWrap w:val="0"/>
            <w:vAlign w:val="center"/>
          </w:tcPr>
          <w:p w14:paraId="2B81182D">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kern w:val="0"/>
                <w:sz w:val="21"/>
                <w:szCs w:val="21"/>
              </w:rPr>
              <w:t>——</w:t>
            </w:r>
          </w:p>
        </w:tc>
      </w:tr>
      <w:tr w14:paraId="339C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564" w:type="dxa"/>
            <w:vMerge w:val="continue"/>
            <w:noWrap w:val="0"/>
            <w:vAlign w:val="center"/>
          </w:tcPr>
          <w:p w14:paraId="53AD7E3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7C08011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6115B78F">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推动可再生能源规模化利用，持续提升本地可再生能源发电装机容量。进一步提高绿色电力应用规模，推动绿电市场化购入量持续增加。</w:t>
            </w:r>
          </w:p>
        </w:tc>
        <w:tc>
          <w:tcPr>
            <w:tcW w:w="684" w:type="dxa"/>
            <w:noWrap w:val="0"/>
            <w:vAlign w:val="center"/>
          </w:tcPr>
          <w:p w14:paraId="6611F30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28DFEDF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207C3A79">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5681F74B">
            <w:pPr>
              <w:keepNext w:val="0"/>
              <w:keepLines w:val="0"/>
              <w:widowControl/>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区城市管理委</w:t>
            </w:r>
          </w:p>
        </w:tc>
        <w:tc>
          <w:tcPr>
            <w:tcW w:w="1475" w:type="dxa"/>
            <w:noWrap w:val="0"/>
            <w:vAlign w:val="center"/>
          </w:tcPr>
          <w:p w14:paraId="714656AD">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kern w:val="0"/>
                <w:sz w:val="21"/>
                <w:szCs w:val="21"/>
              </w:rPr>
              <w:t>区供电公司</w:t>
            </w:r>
          </w:p>
        </w:tc>
      </w:tr>
      <w:tr w14:paraId="287D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564" w:type="dxa"/>
            <w:vMerge w:val="continue"/>
            <w:noWrap w:val="0"/>
            <w:vAlign w:val="center"/>
          </w:tcPr>
          <w:p w14:paraId="2A9588F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227BA75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4FB6846F">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配合市级加强京津冀区域绿电能源合作，加快推进区域能源基础设施互联互通。</w:t>
            </w:r>
          </w:p>
        </w:tc>
        <w:tc>
          <w:tcPr>
            <w:tcW w:w="684" w:type="dxa"/>
            <w:noWrap w:val="0"/>
            <w:vAlign w:val="center"/>
          </w:tcPr>
          <w:p w14:paraId="3627B35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02CAE029">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7A5A0546">
            <w:pPr>
              <w:keepNext w:val="0"/>
              <w:keepLines w:val="0"/>
              <w:widowControl/>
              <w:suppressLineNumbers w:val="0"/>
              <w:snapToGrid w:val="0"/>
              <w:spacing w:before="0" w:beforeAutospacing="0" w:after="0" w:afterAutospacing="0"/>
              <w:ind w:left="0" w:right="0"/>
              <w:jc w:val="center"/>
              <w:rPr>
                <w:rFonts w:hint="eastAsia" w:ascii="仿宋_GB2312" w:hAnsi="Times New Roman" w:eastAsia="仿宋_GB2312" w:cs="仿宋_GB2312"/>
                <w:kern w:val="0"/>
                <w:sz w:val="21"/>
                <w:szCs w:val="21"/>
                <w:lang w:val="en-US" w:eastAsia="zh-CN" w:bidi="ar"/>
              </w:rPr>
            </w:pPr>
          </w:p>
          <w:p w14:paraId="7A0E258F">
            <w:pPr>
              <w:keepNext w:val="0"/>
              <w:keepLines w:val="0"/>
              <w:widowControl/>
              <w:suppressLineNumbers w:val="0"/>
              <w:snapToGrid w:val="0"/>
              <w:spacing w:before="0" w:beforeAutospacing="0" w:after="0" w:afterAutospacing="0"/>
              <w:ind w:left="0" w:right="0"/>
              <w:jc w:val="center"/>
              <w:rPr>
                <w:rFonts w:hint="eastAsia" w:ascii="仿宋_GB2312" w:eastAsia="仿宋_GB2312" w:cs="仿宋_GB2312"/>
                <w:kern w:val="0"/>
                <w:sz w:val="21"/>
                <w:szCs w:val="21"/>
              </w:rPr>
            </w:pPr>
            <w:r>
              <w:rPr>
                <w:rFonts w:hint="eastAsia" w:ascii="仿宋_GB2312" w:hAnsi="Times New Roman" w:eastAsia="仿宋_GB2312" w:cs="仿宋_GB2312"/>
                <w:kern w:val="0"/>
                <w:sz w:val="21"/>
                <w:szCs w:val="21"/>
                <w:lang w:val="en-US" w:eastAsia="zh-CN" w:bidi="ar"/>
              </w:rPr>
              <w:t>区发展改革委</w:t>
            </w:r>
          </w:p>
          <w:p w14:paraId="42BE8A51">
            <w:pPr>
              <w:keepNext w:val="0"/>
              <w:keepLines w:val="0"/>
              <w:widowControl w:val="0"/>
              <w:suppressLineNumbers w:val="0"/>
              <w:spacing w:before="0" w:beforeAutospacing="0" w:after="0" w:afterAutospacing="0"/>
              <w:ind w:left="0" w:right="0"/>
              <w:jc w:val="both"/>
              <w:rPr>
                <w:rFonts w:hint="default"/>
                <w:szCs w:val="20"/>
              </w:rPr>
            </w:pPr>
            <w:r>
              <w:rPr>
                <w:rFonts w:hint="eastAsia" w:ascii="仿宋_GB2312" w:hAnsi="Times New Roman" w:eastAsia="仿宋_GB2312" w:cs="仿宋_GB2312"/>
                <w:kern w:val="0"/>
                <w:sz w:val="21"/>
                <w:szCs w:val="21"/>
                <w:lang w:val="en-US" w:eastAsia="zh-CN" w:bidi="ar"/>
              </w:rPr>
              <w:t>区城市管理委</w:t>
            </w:r>
          </w:p>
          <w:p w14:paraId="0F0AAA9D">
            <w:pPr>
              <w:pStyle w:val="4"/>
              <w:keepNext w:val="0"/>
              <w:keepLines w:val="0"/>
              <w:suppressLineNumbers w:val="0"/>
              <w:snapToGrid w:val="0"/>
              <w:spacing w:before="0" w:beforeAutospacing="0" w:afterAutospacing="0"/>
              <w:ind w:left="210" w:right="210"/>
              <w:jc w:val="center"/>
              <w:rPr>
                <w:rFonts w:hint="eastAsia" w:ascii="仿宋_GB2312" w:hAnsi="仿宋_GB2312" w:eastAsia="仿宋_GB2312" w:cs="仿宋_GB2312"/>
                <w:sz w:val="21"/>
                <w:szCs w:val="21"/>
              </w:rPr>
            </w:pPr>
          </w:p>
        </w:tc>
        <w:tc>
          <w:tcPr>
            <w:tcW w:w="1475" w:type="dxa"/>
            <w:noWrap w:val="0"/>
            <w:vAlign w:val="center"/>
          </w:tcPr>
          <w:p w14:paraId="1A52FC17">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kern w:val="0"/>
                <w:sz w:val="21"/>
                <w:szCs w:val="21"/>
              </w:rPr>
              <w:t>——</w:t>
            </w:r>
          </w:p>
        </w:tc>
      </w:tr>
      <w:tr w14:paraId="30D3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564" w:type="dxa"/>
            <w:vMerge w:val="restart"/>
            <w:noWrap w:val="0"/>
            <w:vAlign w:val="center"/>
          </w:tcPr>
          <w:p w14:paraId="00D0AFC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c>
          <w:tcPr>
            <w:tcW w:w="1104" w:type="dxa"/>
            <w:vMerge w:val="restart"/>
            <w:noWrap w:val="0"/>
            <w:vAlign w:val="center"/>
          </w:tcPr>
          <w:p w14:paraId="623CE89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构建绿色低碳产业体系</w:t>
            </w:r>
          </w:p>
        </w:tc>
        <w:tc>
          <w:tcPr>
            <w:tcW w:w="3828" w:type="dxa"/>
            <w:noWrap w:val="0"/>
            <w:vAlign w:val="center"/>
          </w:tcPr>
          <w:p w14:paraId="6D87FEE6">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深入激发绿色发展新动能，依托燃料电池汽车示范城市群建设，推动氢能产业发展。</w:t>
            </w:r>
          </w:p>
          <w:p w14:paraId="77824F2B">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持续推动大兴国际氢能示范区等产业发展，打造具有国际竞争力的绿色产业集群。</w:t>
            </w:r>
          </w:p>
        </w:tc>
        <w:tc>
          <w:tcPr>
            <w:tcW w:w="684" w:type="dxa"/>
            <w:noWrap w:val="0"/>
            <w:vAlign w:val="center"/>
          </w:tcPr>
          <w:p w14:paraId="72AA29B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6B6B481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5A0B69A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w:t>
            </w:r>
          </w:p>
          <w:p w14:paraId="14F9C94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化局</w:t>
            </w:r>
          </w:p>
        </w:tc>
        <w:tc>
          <w:tcPr>
            <w:tcW w:w="1475" w:type="dxa"/>
            <w:noWrap w:val="0"/>
            <w:vAlign w:val="center"/>
          </w:tcPr>
          <w:p w14:paraId="28242037">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区城市管理委</w:t>
            </w:r>
          </w:p>
          <w:p w14:paraId="2EDD61EB">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区科委</w:t>
            </w:r>
          </w:p>
          <w:p w14:paraId="076BD4D0">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区发展改革委</w:t>
            </w:r>
          </w:p>
        </w:tc>
      </w:tr>
      <w:tr w14:paraId="733A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564" w:type="dxa"/>
            <w:vMerge w:val="continue"/>
            <w:noWrap w:val="0"/>
            <w:vAlign w:val="center"/>
          </w:tcPr>
          <w:p w14:paraId="2A04301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32957DF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1E2B6A07">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力发展循环经济，构建循环型产业体系。提升资源综合利用能力，提高再生资源回收率，生活垃圾资源化利用率达80%以上。加强循环经济产业园区建设，开展产业园区低碳改造升级，进一步加大资源梯级利用和系统优化，安定循环经济园区稳定运行。</w:t>
            </w:r>
          </w:p>
        </w:tc>
        <w:tc>
          <w:tcPr>
            <w:tcW w:w="684" w:type="dxa"/>
            <w:noWrap w:val="0"/>
            <w:vAlign w:val="center"/>
          </w:tcPr>
          <w:p w14:paraId="6171B7D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67ED7A5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101FD6F3">
            <w:pPr>
              <w:keepNext w:val="0"/>
              <w:keepLines w:val="0"/>
              <w:widowControl/>
              <w:suppressLineNumbers w:val="0"/>
              <w:snapToGrid w:val="0"/>
              <w:spacing w:before="0" w:beforeAutospacing="0" w:after="0" w:afterAutospacing="0"/>
              <w:ind w:left="0" w:right="-105" w:rightChars="-5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1DDB9885">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p w14:paraId="1D6A0597">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w:t>
            </w:r>
          </w:p>
          <w:p w14:paraId="16DC87F0">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化局</w:t>
            </w:r>
          </w:p>
          <w:p w14:paraId="4240EEFD">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区科委</w:t>
            </w:r>
          </w:p>
          <w:p w14:paraId="440A17E0">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安定镇人民</w:t>
            </w:r>
          </w:p>
          <w:p w14:paraId="195FE0CB">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政府</w:t>
            </w:r>
          </w:p>
        </w:tc>
        <w:tc>
          <w:tcPr>
            <w:tcW w:w="1475" w:type="dxa"/>
            <w:noWrap w:val="0"/>
            <w:vAlign w:val="center"/>
          </w:tcPr>
          <w:p w14:paraId="4D6A393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5C1A2E9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p w14:paraId="4E0C1127">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各产业园区管委会</w:t>
            </w:r>
          </w:p>
          <w:p w14:paraId="3CB80247">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临空经济区大兴片区管委会</w:t>
            </w:r>
          </w:p>
        </w:tc>
      </w:tr>
      <w:tr w14:paraId="7D98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564" w:type="dxa"/>
            <w:vMerge w:val="continue"/>
            <w:noWrap w:val="0"/>
            <w:vAlign w:val="center"/>
          </w:tcPr>
          <w:p w14:paraId="1F43AB57">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119B646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3731BEAB">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推动工业和信息化领域能效提升。引导数据中心开展节能降碳改造，优化本区存量数据中心。</w:t>
            </w:r>
          </w:p>
        </w:tc>
        <w:tc>
          <w:tcPr>
            <w:tcW w:w="684" w:type="dxa"/>
            <w:noWrap w:val="0"/>
            <w:vAlign w:val="center"/>
          </w:tcPr>
          <w:p w14:paraId="1F6308F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6189546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3E5C52A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区经济和信息</w:t>
            </w:r>
          </w:p>
          <w:p w14:paraId="6CCC271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化局</w:t>
            </w:r>
          </w:p>
          <w:p w14:paraId="3E4BCC4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tc>
        <w:tc>
          <w:tcPr>
            <w:tcW w:w="1475" w:type="dxa"/>
            <w:noWrap w:val="0"/>
            <w:vAlign w:val="center"/>
          </w:tcPr>
          <w:p w14:paraId="2861F37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1A343B7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p w14:paraId="0D80AAE5">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各产业园区管委会</w:t>
            </w:r>
          </w:p>
          <w:p w14:paraId="6138F2F5">
            <w:pPr>
              <w:keepNext w:val="0"/>
              <w:keepLines w:val="0"/>
              <w:widowControl/>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临空经济区大兴片区管委会</w:t>
            </w:r>
          </w:p>
        </w:tc>
      </w:tr>
      <w:tr w14:paraId="4592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564" w:type="dxa"/>
            <w:vMerge w:val="restart"/>
            <w:noWrap w:val="0"/>
            <w:vAlign w:val="center"/>
          </w:tcPr>
          <w:p w14:paraId="2B2905B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w:t>
            </w:r>
          </w:p>
        </w:tc>
        <w:tc>
          <w:tcPr>
            <w:tcW w:w="1104" w:type="dxa"/>
            <w:vMerge w:val="restart"/>
            <w:noWrap w:val="0"/>
            <w:vAlign w:val="center"/>
          </w:tcPr>
          <w:p w14:paraId="5EEFB54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推进建筑领域低碳化</w:t>
            </w:r>
          </w:p>
        </w:tc>
        <w:tc>
          <w:tcPr>
            <w:tcW w:w="3828" w:type="dxa"/>
            <w:noWrap w:val="0"/>
            <w:vAlign w:val="center"/>
          </w:tcPr>
          <w:p w14:paraId="5ABEE465">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落</w:t>
            </w:r>
            <w:r>
              <w:rPr>
                <w:rFonts w:hint="eastAsia" w:ascii="仿宋_GB2312" w:hAnsi="仿宋_GB2312" w:eastAsia="仿宋_GB2312" w:cs="仿宋_GB2312"/>
                <w:kern w:val="0"/>
                <w:sz w:val="21"/>
                <w:szCs w:val="21"/>
                <w:lang w:bidi="ar"/>
              </w:rPr>
              <w:t>实北京市建筑绿色发展条例，广泛开展宣传解读和培训，推进建筑重点领域减排措施落实，推动</w:t>
            </w:r>
            <w:r>
              <w:rPr>
                <w:rFonts w:hint="eastAsia" w:ascii="仿宋_GB2312" w:hAnsi="仿宋_GB2312" w:eastAsia="仿宋_GB2312" w:cs="仿宋_GB2312"/>
                <w:kern w:val="0"/>
                <w:sz w:val="21"/>
                <w:szCs w:val="21"/>
              </w:rPr>
              <w:t>建筑领域碳排放得到有效控制。</w:t>
            </w:r>
          </w:p>
        </w:tc>
        <w:tc>
          <w:tcPr>
            <w:tcW w:w="684" w:type="dxa"/>
            <w:noWrap w:val="0"/>
            <w:vAlign w:val="center"/>
          </w:tcPr>
          <w:p w14:paraId="0E4D5F2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4E20C18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1D6018D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区住房城乡建</w:t>
            </w:r>
          </w:p>
          <w:p w14:paraId="0F0C7F2B">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设委</w:t>
            </w:r>
          </w:p>
        </w:tc>
        <w:tc>
          <w:tcPr>
            <w:tcW w:w="1475" w:type="dxa"/>
            <w:noWrap w:val="0"/>
            <w:vAlign w:val="center"/>
          </w:tcPr>
          <w:p w14:paraId="2118DAE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区发展改革委</w:t>
            </w:r>
          </w:p>
          <w:p w14:paraId="250F718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市规划自然资源委大兴分局</w:t>
            </w:r>
          </w:p>
          <w:p w14:paraId="0B22403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区城市管理委</w:t>
            </w:r>
          </w:p>
          <w:p w14:paraId="2B09D0B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区生态环境局</w:t>
            </w:r>
          </w:p>
        </w:tc>
      </w:tr>
      <w:tr w14:paraId="38F9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564" w:type="dxa"/>
            <w:vMerge w:val="continue"/>
            <w:noWrap w:val="0"/>
            <w:vAlign w:val="center"/>
          </w:tcPr>
          <w:p w14:paraId="42FE5237">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1C7625B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19849786">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实施北京市《公共建筑节能设计标准》（DB11/T 687-2024）。大力推广绿色建筑，新建居住建筑执行绿色建筑二星级以上标准，新建公共建筑力争全面执行绿色建筑二星级以上标准。</w:t>
            </w:r>
          </w:p>
        </w:tc>
        <w:tc>
          <w:tcPr>
            <w:tcW w:w="684" w:type="dxa"/>
            <w:noWrap w:val="0"/>
            <w:vAlign w:val="center"/>
          </w:tcPr>
          <w:p w14:paraId="4247BEA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67CD2DE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41D95EB7">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市规划自然资</w:t>
            </w:r>
          </w:p>
          <w:p w14:paraId="236EF50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源委大兴分局</w:t>
            </w:r>
          </w:p>
          <w:p w14:paraId="6928AC39">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区住房城乡建</w:t>
            </w:r>
          </w:p>
          <w:p w14:paraId="4D4C09C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设委</w:t>
            </w:r>
          </w:p>
          <w:p w14:paraId="685309B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1DF5733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临空经济区</w:t>
            </w:r>
          </w:p>
          <w:p w14:paraId="6DEF921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大兴片区管</w:t>
            </w:r>
          </w:p>
          <w:p w14:paraId="0631F6D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委会</w:t>
            </w:r>
          </w:p>
        </w:tc>
        <w:tc>
          <w:tcPr>
            <w:tcW w:w="1475" w:type="dxa"/>
            <w:noWrap w:val="0"/>
            <w:vAlign w:val="center"/>
          </w:tcPr>
          <w:p w14:paraId="4FA4FB4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1CE6200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p w14:paraId="3DF2B6D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各产业园区管委会</w:t>
            </w:r>
          </w:p>
        </w:tc>
      </w:tr>
      <w:tr w14:paraId="0595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564" w:type="dxa"/>
            <w:vMerge w:val="continue"/>
            <w:noWrap w:val="0"/>
            <w:vAlign w:val="center"/>
          </w:tcPr>
          <w:p w14:paraId="068C1AC1">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54A31DF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22591D3D">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加快推广超低能耗建筑，公共建筑节能绿色改造力争完成“十四五”规划目标，装配式建筑占新建建筑面积的比例达到55%。</w:t>
            </w:r>
          </w:p>
        </w:tc>
        <w:tc>
          <w:tcPr>
            <w:tcW w:w="684" w:type="dxa"/>
            <w:noWrap w:val="0"/>
            <w:vAlign w:val="center"/>
          </w:tcPr>
          <w:p w14:paraId="23F815B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157D939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78AEB3B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区住房城乡建设委</w:t>
            </w:r>
          </w:p>
          <w:p w14:paraId="053B35D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区发展改革委</w:t>
            </w:r>
          </w:p>
          <w:p w14:paraId="5E6C652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市规划自然资源委大兴分局</w:t>
            </w:r>
          </w:p>
          <w:p w14:paraId="07EA5FA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临空经济区大兴片区管委会</w:t>
            </w:r>
          </w:p>
        </w:tc>
        <w:tc>
          <w:tcPr>
            <w:tcW w:w="1475" w:type="dxa"/>
            <w:noWrap w:val="0"/>
            <w:vAlign w:val="center"/>
          </w:tcPr>
          <w:p w14:paraId="68CBA2D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4605C13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p w14:paraId="6C940FC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各产业园区管委会</w:t>
            </w:r>
          </w:p>
        </w:tc>
      </w:tr>
      <w:tr w14:paraId="33F1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564" w:type="dxa"/>
            <w:vMerge w:val="restart"/>
            <w:noWrap w:val="0"/>
            <w:vAlign w:val="center"/>
          </w:tcPr>
          <w:p w14:paraId="3E56096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1104" w:type="dxa"/>
            <w:vMerge w:val="restart"/>
            <w:noWrap w:val="0"/>
            <w:vAlign w:val="center"/>
          </w:tcPr>
          <w:p w14:paraId="072FE8E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创建绿色低碳智能供热体系</w:t>
            </w:r>
          </w:p>
        </w:tc>
        <w:tc>
          <w:tcPr>
            <w:tcW w:w="3828" w:type="dxa"/>
            <w:noWrap w:val="0"/>
            <w:vAlign w:val="center"/>
          </w:tcPr>
          <w:p w14:paraId="60EE274B">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落实北京市供热系统低碳绿色转型方案。全区范围内禁止新建和扩建燃气独立供暖系统，</w:t>
            </w:r>
            <w:r>
              <w:rPr>
                <w:rFonts w:hint="eastAsia" w:ascii="仿宋_GB2312" w:hAnsi="仿宋_GB2312" w:eastAsia="仿宋_GB2312" w:cs="仿宋_GB2312"/>
                <w:color w:val="000000"/>
                <w:kern w:val="0"/>
                <w:sz w:val="21"/>
                <w:szCs w:val="21"/>
                <w:lang w:bidi="ar"/>
              </w:rPr>
              <w:t>新建建筑及新建供热项目优先采用新能源供热或采用新能源耦合常规能源供热。</w:t>
            </w:r>
            <w:r>
              <w:rPr>
                <w:rFonts w:hint="eastAsia" w:ascii="仿宋_GB2312" w:hAnsi="仿宋_GB2312" w:eastAsia="仿宋_GB2312" w:cs="仿宋_GB2312"/>
                <w:sz w:val="21"/>
                <w:szCs w:val="21"/>
              </w:rPr>
              <w:t>新建建筑耦合供热系统中，新能源供热装机占比原则上不低于60</w:t>
            </w:r>
            <w:r>
              <w:rPr>
                <w:rFonts w:hint="eastAsia" w:ascii="仿宋_GB2312" w:hAnsi="仿宋_GB2312" w:eastAsia="仿宋_GB2312" w:cs="仿宋_GB2312"/>
                <w:color w:val="000000"/>
                <w:kern w:val="0"/>
                <w:sz w:val="21"/>
                <w:szCs w:val="21"/>
                <w:lang w:bidi="ar"/>
              </w:rPr>
              <w:t>%。</w:t>
            </w:r>
          </w:p>
        </w:tc>
        <w:tc>
          <w:tcPr>
            <w:tcW w:w="684" w:type="dxa"/>
            <w:noWrap w:val="0"/>
            <w:vAlign w:val="center"/>
          </w:tcPr>
          <w:p w14:paraId="387F85A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5AA1879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49464FE4">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p w14:paraId="72BA94E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区发展改革委</w:t>
            </w:r>
          </w:p>
        </w:tc>
        <w:tc>
          <w:tcPr>
            <w:tcW w:w="1475" w:type="dxa"/>
            <w:noWrap w:val="0"/>
            <w:vAlign w:val="center"/>
          </w:tcPr>
          <w:p w14:paraId="6DE5345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3F09693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p w14:paraId="71B28C28">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各产业园区管委会</w:t>
            </w:r>
          </w:p>
          <w:p w14:paraId="5F5EEFC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临空经济区大兴片区管委会</w:t>
            </w:r>
          </w:p>
        </w:tc>
      </w:tr>
      <w:tr w14:paraId="08F2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564" w:type="dxa"/>
            <w:vMerge w:val="continue"/>
            <w:noWrap w:val="0"/>
            <w:vAlign w:val="center"/>
          </w:tcPr>
          <w:p w14:paraId="12D396E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052771F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6435A2BB">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统筹实施供热智能化改造和供热资源整合，建立供热系统感知体系，有序推进管道天然气锅炉房绿色改造。推进既有散小热源整合联网及新能源和可再生能源耦合供热替代。新能源供热占比达到市级要求。</w:t>
            </w:r>
          </w:p>
        </w:tc>
        <w:tc>
          <w:tcPr>
            <w:tcW w:w="684" w:type="dxa"/>
            <w:noWrap w:val="0"/>
            <w:vAlign w:val="center"/>
          </w:tcPr>
          <w:p w14:paraId="78748F09">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4CFDCF4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5D2974F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p w14:paraId="232318A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区发展改革委</w:t>
            </w:r>
          </w:p>
        </w:tc>
        <w:tc>
          <w:tcPr>
            <w:tcW w:w="1475" w:type="dxa"/>
            <w:noWrap w:val="0"/>
            <w:vAlign w:val="center"/>
          </w:tcPr>
          <w:p w14:paraId="79A542A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24B8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564" w:type="dxa"/>
            <w:vMerge w:val="continue"/>
            <w:noWrap w:val="0"/>
            <w:vAlign w:val="center"/>
          </w:tcPr>
          <w:p w14:paraId="112181D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17C937E7">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08F41A6F">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加大再生水（污水）源热泵、地源热泵和余热回收等绿色低碳技术推广应用。</w:t>
            </w:r>
          </w:p>
          <w:p w14:paraId="25F6DD7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鼓励在具有一定规模的再生水厂、污水处理厂周边地区，优先采用再生水（污水）热泵系统供暖。</w:t>
            </w:r>
          </w:p>
          <w:p w14:paraId="267F52FB">
            <w:pPr>
              <w:keepNext w:val="0"/>
              <w:keepLines w:val="0"/>
              <w:suppressLineNumbers w:val="0"/>
              <w:snapToGrid w:val="0"/>
              <w:spacing w:before="0" w:beforeAutospacing="0" w:after="0" w:afterAutospacing="0" w:line="240" w:lineRule="exact"/>
              <w:ind w:left="0" w:right="0"/>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发挥华能电厂烟气余热利用项目示范效应，</w:t>
            </w:r>
            <w:r>
              <w:rPr>
                <w:rFonts w:hint="eastAsia" w:ascii="仿宋_GB2312" w:hAnsi="仿宋_GB2312" w:eastAsia="仿宋_GB2312" w:cs="仿宋_GB2312"/>
                <w:kern w:val="0"/>
                <w:sz w:val="21"/>
                <w:szCs w:val="21"/>
              </w:rPr>
              <w:t>支持具备条件的燃气锅炉房等加装烟气余热热泵回收装置。</w:t>
            </w:r>
            <w:r>
              <w:rPr>
                <w:rFonts w:hint="eastAsia" w:ascii="仿宋_GB2312" w:hAnsi="仿宋_GB2312" w:eastAsia="仿宋_GB2312" w:cs="仿宋_GB2312"/>
                <w:color w:val="000000"/>
                <w:kern w:val="0"/>
                <w:sz w:val="21"/>
                <w:szCs w:val="21"/>
                <w:lang w:bidi="ar"/>
              </w:rPr>
              <w:t>推动南宫、安定循环产业园垃圾焚烧发电厂热电联供和余热利用供热示范，替代周边锅炉房。</w:t>
            </w:r>
          </w:p>
          <w:p w14:paraId="1B825D06">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推进数据中心余热利用。</w:t>
            </w:r>
          </w:p>
        </w:tc>
        <w:tc>
          <w:tcPr>
            <w:tcW w:w="684" w:type="dxa"/>
            <w:noWrap w:val="0"/>
            <w:vAlign w:val="center"/>
          </w:tcPr>
          <w:p w14:paraId="477C708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1E08269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6861B50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区城市管理委</w:t>
            </w:r>
          </w:p>
          <w:p w14:paraId="136FFC0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区发展改革委</w:t>
            </w:r>
          </w:p>
          <w:p w14:paraId="6AA692E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6E46593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安定镇人民政府</w:t>
            </w:r>
          </w:p>
          <w:p w14:paraId="21EEF4A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青云店镇人民政府</w:t>
            </w:r>
          </w:p>
        </w:tc>
        <w:tc>
          <w:tcPr>
            <w:tcW w:w="1475" w:type="dxa"/>
            <w:noWrap w:val="0"/>
            <w:vAlign w:val="center"/>
          </w:tcPr>
          <w:p w14:paraId="2611391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6B09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564" w:type="dxa"/>
            <w:vMerge w:val="continue"/>
            <w:noWrap w:val="0"/>
            <w:vAlign w:val="center"/>
          </w:tcPr>
          <w:p w14:paraId="5333965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134C46D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79CB37AB">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lang w:bidi="ar"/>
              </w:rPr>
              <w:t>按照市级要求推进既有建筑供热系统智能化改造，</w:t>
            </w:r>
            <w:r>
              <w:rPr>
                <w:rFonts w:hint="eastAsia" w:ascii="仿宋_GB2312" w:hAnsi="仿宋_GB2312" w:eastAsia="仿宋_GB2312" w:cs="仿宋_GB2312"/>
                <w:bCs/>
                <w:sz w:val="21"/>
                <w:szCs w:val="21"/>
              </w:rPr>
              <w:t>创建可推广的典型案例。</w:t>
            </w:r>
            <w:r>
              <w:rPr>
                <w:rFonts w:hint="eastAsia" w:ascii="仿宋_GB2312" w:hAnsi="仿宋_GB2312" w:eastAsia="仿宋_GB2312" w:cs="仿宋_GB2312"/>
                <w:color w:val="000000"/>
                <w:kern w:val="0"/>
                <w:sz w:val="21"/>
                <w:szCs w:val="21"/>
                <w:lang w:bidi="ar"/>
              </w:rPr>
              <w:t>推动锅炉使用单位安装能源在线监控装置。</w:t>
            </w:r>
          </w:p>
        </w:tc>
        <w:tc>
          <w:tcPr>
            <w:tcW w:w="684" w:type="dxa"/>
            <w:noWrap w:val="0"/>
            <w:vAlign w:val="center"/>
          </w:tcPr>
          <w:p w14:paraId="18E54EB1">
            <w:pPr>
              <w:keepNext w:val="0"/>
              <w:keepLines w:val="0"/>
              <w:suppressLineNumbers w:val="0"/>
              <w:tabs>
                <w:tab w:val="left" w:pos="322"/>
              </w:tabs>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256BDF17">
            <w:pPr>
              <w:keepNext w:val="0"/>
              <w:keepLines w:val="0"/>
              <w:suppressLineNumbers w:val="0"/>
              <w:tabs>
                <w:tab w:val="left" w:pos="322"/>
              </w:tabs>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42400D2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p w14:paraId="7B194937">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区发展改革委</w:t>
            </w:r>
          </w:p>
        </w:tc>
        <w:tc>
          <w:tcPr>
            <w:tcW w:w="1475" w:type="dxa"/>
            <w:noWrap w:val="0"/>
            <w:vAlign w:val="center"/>
          </w:tcPr>
          <w:p w14:paraId="661E587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w:t>
            </w:r>
          </w:p>
        </w:tc>
      </w:tr>
      <w:tr w14:paraId="51AD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64" w:type="dxa"/>
            <w:vMerge w:val="restart"/>
            <w:noWrap w:val="0"/>
            <w:vAlign w:val="center"/>
          </w:tcPr>
          <w:p w14:paraId="4E86D44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w:t>
            </w:r>
          </w:p>
        </w:tc>
        <w:tc>
          <w:tcPr>
            <w:tcW w:w="1104" w:type="dxa"/>
            <w:vMerge w:val="restart"/>
            <w:noWrap w:val="0"/>
            <w:vAlign w:val="center"/>
          </w:tcPr>
          <w:p w14:paraId="265F60B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加强城市绿色交通体系建设</w:t>
            </w:r>
          </w:p>
        </w:tc>
        <w:tc>
          <w:tcPr>
            <w:tcW w:w="3828" w:type="dxa"/>
            <w:noWrap w:val="0"/>
            <w:vAlign w:val="center"/>
          </w:tcPr>
          <w:p w14:paraId="74270957">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扎实推进慢行优先、公交优先、绿色优先。</w:t>
            </w:r>
          </w:p>
        </w:tc>
        <w:tc>
          <w:tcPr>
            <w:tcW w:w="684" w:type="dxa"/>
            <w:noWrap w:val="0"/>
            <w:vAlign w:val="center"/>
          </w:tcPr>
          <w:p w14:paraId="4A9F5199">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年底前</w:t>
            </w:r>
          </w:p>
        </w:tc>
        <w:tc>
          <w:tcPr>
            <w:tcW w:w="1369" w:type="dxa"/>
            <w:noWrap w:val="0"/>
            <w:tcMar>
              <w:left w:w="57" w:type="dxa"/>
              <w:right w:w="28" w:type="dxa"/>
            </w:tcMar>
            <w:vAlign w:val="center"/>
          </w:tcPr>
          <w:p w14:paraId="52045D9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区交通局</w:t>
            </w:r>
          </w:p>
          <w:p w14:paraId="777D45D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tc>
        <w:tc>
          <w:tcPr>
            <w:tcW w:w="1475" w:type="dxa"/>
            <w:noWrap w:val="0"/>
            <w:vAlign w:val="center"/>
          </w:tcPr>
          <w:p w14:paraId="3910C96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2D2E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564" w:type="dxa"/>
            <w:vMerge w:val="continue"/>
            <w:noWrap w:val="0"/>
            <w:vAlign w:val="center"/>
          </w:tcPr>
          <w:p w14:paraId="337C9C8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60C218A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0EEC0A99">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加快推动氢能在城市物流配送、建筑材料运输、客运等领域发展应用，本地氢燃料电池汽车推广数量、加氢站数量进一步提升。</w:t>
            </w:r>
          </w:p>
        </w:tc>
        <w:tc>
          <w:tcPr>
            <w:tcW w:w="684" w:type="dxa"/>
            <w:noWrap w:val="0"/>
            <w:vAlign w:val="center"/>
          </w:tcPr>
          <w:p w14:paraId="40518B6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66468A3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6584C7E7">
            <w:pPr>
              <w:pStyle w:val="4"/>
              <w:keepNext w:val="0"/>
              <w:keepLines w:val="0"/>
              <w:pageBreakBefore w:val="0"/>
              <w:widowControl w:val="0"/>
              <w:suppressLineNumbers w:val="0"/>
              <w:kinsoku/>
              <w:wordWrap/>
              <w:overflowPunct/>
              <w:topLinePunct w:val="0"/>
              <w:autoSpaceDE/>
              <w:autoSpaceDN/>
              <w:bidi w:val="0"/>
              <w:adjustRightInd/>
              <w:spacing w:before="0" w:beforeAutospacing="0" w:after="0" w:afterLines="0" w:afterAutospacing="0"/>
              <w:ind w:left="210" w:right="21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区经济和信息化局</w:t>
            </w:r>
          </w:p>
          <w:p w14:paraId="347ADD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区城市管理委</w:t>
            </w:r>
          </w:p>
        </w:tc>
        <w:tc>
          <w:tcPr>
            <w:tcW w:w="1475" w:type="dxa"/>
            <w:noWrap w:val="0"/>
            <w:vAlign w:val="center"/>
          </w:tcPr>
          <w:p w14:paraId="05522BC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区国资委</w:t>
            </w:r>
          </w:p>
          <w:p w14:paraId="12C1912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r>
      <w:tr w14:paraId="5325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564" w:type="dxa"/>
            <w:vMerge w:val="restart"/>
            <w:noWrap w:val="0"/>
            <w:vAlign w:val="center"/>
          </w:tcPr>
          <w:p w14:paraId="2658685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1104" w:type="dxa"/>
            <w:vMerge w:val="restart"/>
            <w:noWrap w:val="0"/>
            <w:vAlign w:val="center"/>
          </w:tcPr>
          <w:p w14:paraId="0AC027A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控制农业和非二氧化碳温室气体排放</w:t>
            </w:r>
          </w:p>
        </w:tc>
        <w:tc>
          <w:tcPr>
            <w:tcW w:w="3828" w:type="dxa"/>
            <w:noWrap w:val="0"/>
            <w:vAlign w:val="center"/>
          </w:tcPr>
          <w:p w14:paraId="3676162E">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发展低碳循环农业，加大老旧设施改造力度，提升设施性能。提升低耗高效农业设施比例。</w:t>
            </w:r>
          </w:p>
        </w:tc>
        <w:tc>
          <w:tcPr>
            <w:tcW w:w="684" w:type="dxa"/>
            <w:noWrap w:val="0"/>
            <w:vAlign w:val="center"/>
          </w:tcPr>
          <w:p w14:paraId="179246F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1FAC263B">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167C76E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区农业农村局</w:t>
            </w:r>
          </w:p>
        </w:tc>
        <w:tc>
          <w:tcPr>
            <w:tcW w:w="1475" w:type="dxa"/>
            <w:noWrap w:val="0"/>
            <w:vAlign w:val="center"/>
          </w:tcPr>
          <w:p w14:paraId="0FF5816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区农业服务中心</w:t>
            </w:r>
          </w:p>
          <w:p w14:paraId="3B8B809B">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各相关镇人民政府</w:t>
            </w:r>
          </w:p>
        </w:tc>
      </w:tr>
      <w:tr w14:paraId="54A2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564" w:type="dxa"/>
            <w:vMerge w:val="continue"/>
            <w:noWrap w:val="0"/>
            <w:vAlign w:val="center"/>
          </w:tcPr>
          <w:p w14:paraId="4411EC9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1969FE6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7AC4BC61">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落实市级甲烷排放控制方案，严格控制污水处理、废弃物处置、农业、能源等领域甲烷排放，促进甲烷资源化利用。</w:t>
            </w:r>
          </w:p>
        </w:tc>
        <w:tc>
          <w:tcPr>
            <w:tcW w:w="684" w:type="dxa"/>
            <w:noWrap w:val="0"/>
            <w:vAlign w:val="center"/>
          </w:tcPr>
          <w:p w14:paraId="6445D7B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7EB0DE6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tcMar>
              <w:left w:w="57" w:type="dxa"/>
              <w:right w:w="28" w:type="dxa"/>
            </w:tcMar>
            <w:vAlign w:val="center"/>
          </w:tcPr>
          <w:p w14:paraId="11F0761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7107748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p w14:paraId="462C19B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区水务局</w:t>
            </w:r>
          </w:p>
          <w:p w14:paraId="3601465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区农业农村局</w:t>
            </w:r>
          </w:p>
        </w:tc>
        <w:tc>
          <w:tcPr>
            <w:tcW w:w="1475" w:type="dxa"/>
            <w:noWrap w:val="0"/>
            <w:vAlign w:val="center"/>
          </w:tcPr>
          <w:p w14:paraId="50D8DD0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各镇人民政府</w:t>
            </w:r>
          </w:p>
          <w:p w14:paraId="3D480A6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各街道办事处</w:t>
            </w:r>
          </w:p>
          <w:p w14:paraId="7DC4B90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各产业园区管委会</w:t>
            </w:r>
          </w:p>
          <w:p w14:paraId="64A7A2B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临空经济区大兴片区管委会</w:t>
            </w:r>
          </w:p>
        </w:tc>
      </w:tr>
      <w:tr w14:paraId="00E7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564" w:type="dxa"/>
            <w:noWrap w:val="0"/>
            <w:vAlign w:val="center"/>
          </w:tcPr>
          <w:p w14:paraId="1264570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w:t>
            </w:r>
          </w:p>
        </w:tc>
        <w:tc>
          <w:tcPr>
            <w:tcW w:w="1104" w:type="dxa"/>
            <w:noWrap w:val="0"/>
            <w:vAlign w:val="center"/>
          </w:tcPr>
          <w:p w14:paraId="6851CEF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提升生态系统应对气候变化能力</w:t>
            </w:r>
          </w:p>
        </w:tc>
        <w:tc>
          <w:tcPr>
            <w:tcW w:w="3828" w:type="dxa"/>
            <w:noWrap w:val="0"/>
            <w:vAlign w:val="center"/>
          </w:tcPr>
          <w:p w14:paraId="6F009D12">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提升生态系统碳汇能力，全区森林蓄积量达到市级要求。</w:t>
            </w:r>
          </w:p>
        </w:tc>
        <w:tc>
          <w:tcPr>
            <w:tcW w:w="684" w:type="dxa"/>
            <w:noWrap w:val="0"/>
            <w:vAlign w:val="center"/>
          </w:tcPr>
          <w:p w14:paraId="6C565765">
            <w:pPr>
              <w:keepNext w:val="0"/>
              <w:keepLines w:val="0"/>
              <w:widowControl w:val="0"/>
              <w:suppressLineNumbers w:val="0"/>
              <w:snapToGrid w:val="0"/>
              <w:spacing w:before="0" w:beforeAutospacing="0" w:after="0" w:afterAutospacing="0"/>
              <w:ind w:left="-105" w:leftChars="-50" w:right="-105" w:rightChars="-50"/>
              <w:jc w:val="center"/>
              <w:rPr>
                <w:rFonts w:hint="eastAsia" w:ascii="仿宋_GB2312" w:hAnsi="Times New Roman" w:eastAsia="仿宋_GB2312" w:cs="仿宋_GB2312"/>
                <w:kern w:val="0"/>
                <w:sz w:val="21"/>
                <w:szCs w:val="21"/>
                <w:lang w:val="en-US" w:eastAsia="zh-CN" w:bidi="ar"/>
              </w:rPr>
            </w:pPr>
          </w:p>
          <w:p w14:paraId="1F0D7566">
            <w:pPr>
              <w:keepNext w:val="0"/>
              <w:keepLines w:val="0"/>
              <w:widowControl w:val="0"/>
              <w:suppressLineNumbers w:val="0"/>
              <w:snapToGrid w:val="0"/>
              <w:spacing w:before="0" w:beforeAutospacing="0" w:after="0" w:afterAutospacing="0"/>
              <w:ind w:left="-105" w:leftChars="-50" w:right="-105" w:rightChars="-50"/>
              <w:jc w:val="center"/>
              <w:rPr>
                <w:rFonts w:hint="eastAsia" w:ascii="仿宋_GB2312" w:eastAsia="仿宋_GB2312" w:cs="仿宋_GB2312"/>
                <w:kern w:val="0"/>
                <w:sz w:val="21"/>
                <w:szCs w:val="21"/>
              </w:rPr>
            </w:pPr>
            <w:r>
              <w:rPr>
                <w:rFonts w:hint="eastAsia" w:ascii="仿宋_GB2312" w:hAnsi="Times New Roman" w:eastAsia="仿宋_GB2312" w:cs="仿宋_GB2312"/>
                <w:kern w:val="0"/>
                <w:sz w:val="21"/>
                <w:szCs w:val="21"/>
                <w:lang w:val="en-US" w:eastAsia="zh-CN" w:bidi="ar"/>
              </w:rPr>
              <w:t>年底</w:t>
            </w:r>
          </w:p>
          <w:p w14:paraId="20276C7F">
            <w:pPr>
              <w:keepNext w:val="0"/>
              <w:keepLines w:val="0"/>
              <w:widowControl w:val="0"/>
              <w:suppressLineNumbers w:val="0"/>
              <w:spacing w:before="0" w:beforeAutospacing="0" w:after="0" w:afterAutospacing="0"/>
              <w:ind w:left="0" w:right="0"/>
              <w:jc w:val="center"/>
              <w:rPr>
                <w:rFonts w:hint="default"/>
                <w:szCs w:val="20"/>
              </w:rPr>
            </w:pPr>
            <w:r>
              <w:rPr>
                <w:rFonts w:hint="eastAsia" w:ascii="仿宋_GB2312" w:hAnsi="Times New Roman" w:eastAsia="仿宋_GB2312" w:cs="仿宋_GB2312"/>
                <w:kern w:val="0"/>
                <w:sz w:val="21"/>
                <w:szCs w:val="21"/>
                <w:lang w:val="en-US" w:eastAsia="zh-CN" w:bidi="ar"/>
              </w:rPr>
              <w:t>前</w:t>
            </w:r>
          </w:p>
          <w:p w14:paraId="21C6F524">
            <w:pPr>
              <w:keepNext w:val="0"/>
              <w:keepLines w:val="0"/>
              <w:suppressLineNumbers w:val="0"/>
              <w:snapToGrid w:val="0"/>
              <w:spacing w:before="0" w:beforeAutospacing="0" w:after="0" w:afterAutospacing="0"/>
              <w:ind w:left="0" w:right="-105" w:rightChars="-50"/>
              <w:jc w:val="center"/>
              <w:rPr>
                <w:rFonts w:hint="eastAsia" w:ascii="仿宋_GB2312" w:hAnsi="仿宋_GB2312" w:eastAsia="仿宋_GB2312" w:cs="仿宋_GB2312"/>
                <w:kern w:val="0"/>
                <w:sz w:val="21"/>
                <w:szCs w:val="21"/>
              </w:rPr>
            </w:pPr>
          </w:p>
        </w:tc>
        <w:tc>
          <w:tcPr>
            <w:tcW w:w="1369" w:type="dxa"/>
            <w:noWrap w:val="0"/>
            <w:tcMar>
              <w:left w:w="57" w:type="dxa"/>
              <w:right w:w="28" w:type="dxa"/>
            </w:tcMar>
            <w:vAlign w:val="center"/>
          </w:tcPr>
          <w:p w14:paraId="7C54E62A">
            <w:pPr>
              <w:keepNext w:val="0"/>
              <w:keepLines w:val="0"/>
              <w:suppressLineNumbers w:val="0"/>
              <w:snapToGrid w:val="0"/>
              <w:spacing w:before="0" w:beforeAutospacing="0" w:after="0" w:afterAutospacing="0"/>
              <w:ind w:left="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区园林绿化局</w:t>
            </w:r>
          </w:p>
        </w:tc>
        <w:tc>
          <w:tcPr>
            <w:tcW w:w="1475" w:type="dxa"/>
            <w:noWrap w:val="0"/>
            <w:vAlign w:val="center"/>
          </w:tcPr>
          <w:p w14:paraId="4AD897A5">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000F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024" w:type="dxa"/>
            <w:gridSpan w:val="6"/>
            <w:noWrap w:val="0"/>
            <w:vAlign w:val="center"/>
          </w:tcPr>
          <w:p w14:paraId="7BB077C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黑体" w:hAnsi="黑体" w:eastAsia="黑体" w:cs="黑体"/>
                <w:kern w:val="0"/>
                <w:sz w:val="21"/>
                <w:szCs w:val="21"/>
              </w:rPr>
              <w:t>四、加强城市气候适应性建设</w:t>
            </w:r>
          </w:p>
        </w:tc>
      </w:tr>
      <w:tr w14:paraId="7B03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trPr>
        <w:tc>
          <w:tcPr>
            <w:tcW w:w="564" w:type="dxa"/>
            <w:noWrap w:val="0"/>
            <w:vAlign w:val="center"/>
          </w:tcPr>
          <w:p w14:paraId="4130FDD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w:t>
            </w:r>
          </w:p>
        </w:tc>
        <w:tc>
          <w:tcPr>
            <w:tcW w:w="1104" w:type="dxa"/>
            <w:noWrap w:val="0"/>
            <w:vAlign w:val="center"/>
          </w:tcPr>
          <w:p w14:paraId="78CBF39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加强适应气候变化工作统筹</w:t>
            </w:r>
          </w:p>
        </w:tc>
        <w:tc>
          <w:tcPr>
            <w:tcW w:w="3828" w:type="dxa"/>
            <w:noWrap w:val="0"/>
            <w:vAlign w:val="center"/>
          </w:tcPr>
          <w:p w14:paraId="6FE67803">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推动落实北京市适应气候变化行动方案，传播城市适应气候变化理念，按照市级要求开展相关评估工作。</w:t>
            </w:r>
          </w:p>
          <w:p w14:paraId="7AF9A956">
            <w:pPr>
              <w:pStyle w:val="4"/>
              <w:keepNext w:val="0"/>
              <w:keepLines w:val="0"/>
              <w:suppressLineNumbers w:val="0"/>
              <w:spacing w:before="0" w:beforeAutospacing="0" w:afterAutospacing="0"/>
              <w:ind w:left="0" w:leftChars="0" w:right="2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贯彻落实《国家气候变化健康适应行动方案（</w:t>
            </w:r>
            <w:r>
              <w:rPr>
                <w:rFonts w:hint="eastAsia" w:ascii="仿宋_GB2312" w:hAnsi="仿宋_GB2312" w:eastAsia="仿宋_GB2312" w:cs="仿宋_GB2312"/>
                <w:kern w:val="0"/>
                <w:sz w:val="21"/>
                <w:szCs w:val="21"/>
              </w:rPr>
              <w:t>2024-2030</w:t>
            </w:r>
            <w:r>
              <w:rPr>
                <w:rFonts w:hint="eastAsia" w:ascii="仿宋_GB2312" w:hAnsi="仿宋_GB2312" w:eastAsia="仿宋_GB2312" w:cs="仿宋_GB2312"/>
                <w:sz w:val="21"/>
                <w:szCs w:val="21"/>
              </w:rPr>
              <w:t>）》，配合市级编制气候变化健康适应行动方案。</w:t>
            </w:r>
          </w:p>
        </w:tc>
        <w:tc>
          <w:tcPr>
            <w:tcW w:w="684" w:type="dxa"/>
            <w:noWrap w:val="0"/>
            <w:vAlign w:val="center"/>
          </w:tcPr>
          <w:p w14:paraId="69A5921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3896065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3152CEF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45AA2CC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区卫生健康委</w:t>
            </w:r>
          </w:p>
          <w:p w14:paraId="19C676D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（区疾控中心）</w:t>
            </w:r>
          </w:p>
        </w:tc>
        <w:tc>
          <w:tcPr>
            <w:tcW w:w="1475" w:type="dxa"/>
            <w:noWrap w:val="0"/>
            <w:vAlign w:val="center"/>
          </w:tcPr>
          <w:p w14:paraId="04FA496A">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市规划自然资源委大兴分局</w:t>
            </w:r>
          </w:p>
          <w:p w14:paraId="6CE8AB9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3CABDD9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区应急局</w:t>
            </w:r>
          </w:p>
          <w:p w14:paraId="0059EC5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区气象局</w:t>
            </w:r>
          </w:p>
          <w:p w14:paraId="5029A63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区水务局</w:t>
            </w:r>
          </w:p>
          <w:p w14:paraId="0418F70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区科委</w:t>
            </w:r>
          </w:p>
          <w:p w14:paraId="7DED899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区住房城乡建设委</w:t>
            </w:r>
          </w:p>
          <w:p w14:paraId="373B329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区交通局</w:t>
            </w:r>
          </w:p>
          <w:p w14:paraId="359EF95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区农业农村局</w:t>
            </w:r>
          </w:p>
          <w:p w14:paraId="1C441319">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区文化和旅游局</w:t>
            </w:r>
          </w:p>
          <w:p w14:paraId="7A26B3E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区园林绿化局</w:t>
            </w:r>
          </w:p>
          <w:p w14:paraId="5B2F8C2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区财政局</w:t>
            </w:r>
          </w:p>
        </w:tc>
      </w:tr>
      <w:tr w14:paraId="5769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4" w:type="dxa"/>
            <w:noWrap w:val="0"/>
            <w:vAlign w:val="center"/>
          </w:tcPr>
          <w:p w14:paraId="0C29C39C">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w:t>
            </w:r>
          </w:p>
        </w:tc>
        <w:tc>
          <w:tcPr>
            <w:tcW w:w="1104" w:type="dxa"/>
            <w:noWrap w:val="0"/>
            <w:vAlign w:val="center"/>
          </w:tcPr>
          <w:p w14:paraId="7CCA573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加强海绵城市建设</w:t>
            </w:r>
          </w:p>
        </w:tc>
        <w:tc>
          <w:tcPr>
            <w:tcW w:w="3828" w:type="dxa"/>
            <w:noWrap w:val="0"/>
            <w:vAlign w:val="center"/>
          </w:tcPr>
          <w:p w14:paraId="03769F19">
            <w:pPr>
              <w:pStyle w:val="4"/>
              <w:keepNext w:val="0"/>
              <w:keepLines w:val="0"/>
              <w:suppressLineNumbers w:val="0"/>
              <w:spacing w:before="0" w:beforeAutospacing="0" w:afterAutospacing="0"/>
              <w:ind w:left="0" w:leftChars="0" w:right="21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全区范围推广开展“海绵校园”“海绵公园”“海绵道路”等海绵城市建设工程。建成区海绵城市达标面积比例达到市级要求。</w:t>
            </w:r>
          </w:p>
        </w:tc>
        <w:tc>
          <w:tcPr>
            <w:tcW w:w="684" w:type="dxa"/>
            <w:noWrap w:val="0"/>
            <w:vAlign w:val="center"/>
          </w:tcPr>
          <w:p w14:paraId="134EA1A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62E2FD57">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7C0F0178">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区水务局</w:t>
            </w:r>
          </w:p>
        </w:tc>
        <w:tc>
          <w:tcPr>
            <w:tcW w:w="1475" w:type="dxa"/>
            <w:noWrap w:val="0"/>
            <w:vAlign w:val="center"/>
          </w:tcPr>
          <w:p w14:paraId="618D657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市规划自然资源委大兴分局</w:t>
            </w:r>
          </w:p>
          <w:p w14:paraId="56B18222">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区住房城乡建设委</w:t>
            </w:r>
          </w:p>
          <w:p w14:paraId="278DCAC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区交通局</w:t>
            </w:r>
          </w:p>
          <w:p w14:paraId="7782FB4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区园林绿化局</w:t>
            </w:r>
          </w:p>
        </w:tc>
      </w:tr>
      <w:tr w14:paraId="4781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64" w:type="dxa"/>
            <w:noWrap w:val="0"/>
            <w:vAlign w:val="center"/>
          </w:tcPr>
          <w:p w14:paraId="3974DD1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w:t>
            </w:r>
          </w:p>
        </w:tc>
        <w:tc>
          <w:tcPr>
            <w:tcW w:w="1104" w:type="dxa"/>
            <w:noWrap w:val="0"/>
            <w:vAlign w:val="center"/>
          </w:tcPr>
          <w:p w14:paraId="0015EE93">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提升城市韧性和气候防范能力</w:t>
            </w:r>
          </w:p>
        </w:tc>
        <w:tc>
          <w:tcPr>
            <w:tcW w:w="3828" w:type="dxa"/>
            <w:noWrap w:val="0"/>
            <w:vAlign w:val="center"/>
          </w:tcPr>
          <w:p w14:paraId="72C38B68">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强化应急预案和部门联动工作机制，做好极端天气事件等突发事件应对。</w:t>
            </w:r>
          </w:p>
        </w:tc>
        <w:tc>
          <w:tcPr>
            <w:tcW w:w="684" w:type="dxa"/>
            <w:noWrap w:val="0"/>
            <w:vAlign w:val="center"/>
          </w:tcPr>
          <w:p w14:paraId="5A6B234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7120A68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427F7F4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区应急局</w:t>
            </w:r>
          </w:p>
          <w:p w14:paraId="1B8CC8B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区水务局</w:t>
            </w:r>
          </w:p>
          <w:p w14:paraId="4605427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区城市管理委</w:t>
            </w:r>
          </w:p>
        </w:tc>
        <w:tc>
          <w:tcPr>
            <w:tcW w:w="1475" w:type="dxa"/>
            <w:noWrap w:val="0"/>
            <w:vAlign w:val="center"/>
          </w:tcPr>
          <w:p w14:paraId="6819E576">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5837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64" w:type="dxa"/>
            <w:noWrap w:val="0"/>
            <w:vAlign w:val="center"/>
          </w:tcPr>
          <w:p w14:paraId="0997C69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1104" w:type="dxa"/>
            <w:noWrap w:val="0"/>
            <w:vAlign w:val="center"/>
          </w:tcPr>
          <w:p w14:paraId="1FC6798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提升监测预警能力</w:t>
            </w:r>
          </w:p>
        </w:tc>
        <w:tc>
          <w:tcPr>
            <w:tcW w:w="3828" w:type="dxa"/>
            <w:noWrap w:val="0"/>
            <w:vAlign w:val="center"/>
          </w:tcPr>
          <w:p w14:paraId="1FD27AFD">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健全覆盖全区的气象监测和自然灾害预警系统，进一步提高短时临近气象预报精准度，加大重点区域的精准预测预警。</w:t>
            </w:r>
          </w:p>
        </w:tc>
        <w:tc>
          <w:tcPr>
            <w:tcW w:w="684" w:type="dxa"/>
            <w:noWrap w:val="0"/>
            <w:vAlign w:val="center"/>
          </w:tcPr>
          <w:p w14:paraId="74545D7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71A4BD08">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32AB97D2">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区气象局</w:t>
            </w:r>
          </w:p>
        </w:tc>
        <w:tc>
          <w:tcPr>
            <w:tcW w:w="1475" w:type="dxa"/>
            <w:noWrap w:val="0"/>
            <w:vAlign w:val="center"/>
          </w:tcPr>
          <w:p w14:paraId="2BC944C7">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63DC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024" w:type="dxa"/>
            <w:gridSpan w:val="6"/>
            <w:noWrap w:val="0"/>
            <w:vAlign w:val="center"/>
          </w:tcPr>
          <w:p w14:paraId="624B4EB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b/>
                <w:kern w:val="0"/>
                <w:sz w:val="21"/>
                <w:szCs w:val="21"/>
              </w:rPr>
            </w:pPr>
            <w:r>
              <w:rPr>
                <w:rFonts w:hint="eastAsia" w:ascii="黑体" w:hAnsi="黑体" w:eastAsia="黑体" w:cs="黑体"/>
                <w:kern w:val="0"/>
                <w:sz w:val="21"/>
                <w:szCs w:val="21"/>
              </w:rPr>
              <w:t>五、强化综合保障和能力建设</w:t>
            </w:r>
          </w:p>
        </w:tc>
      </w:tr>
      <w:tr w14:paraId="0C2B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64" w:type="dxa"/>
            <w:vMerge w:val="restart"/>
            <w:noWrap w:val="0"/>
            <w:vAlign w:val="center"/>
          </w:tcPr>
          <w:p w14:paraId="03CE2C5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val="en"/>
              </w:rPr>
            </w:pPr>
            <w:r>
              <w:rPr>
                <w:rFonts w:hint="eastAsia" w:ascii="仿宋_GB2312" w:hAnsi="仿宋_GB2312" w:eastAsia="仿宋_GB2312" w:cs="仿宋_GB2312"/>
                <w:kern w:val="0"/>
                <w:sz w:val="21"/>
                <w:szCs w:val="21"/>
              </w:rPr>
              <w:t>16</w:t>
            </w:r>
          </w:p>
        </w:tc>
        <w:tc>
          <w:tcPr>
            <w:tcW w:w="1104" w:type="dxa"/>
            <w:vMerge w:val="restart"/>
            <w:noWrap w:val="0"/>
            <w:vAlign w:val="center"/>
          </w:tcPr>
          <w:p w14:paraId="360BD77E">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提升统计核算能力和数据质量管理</w:t>
            </w:r>
          </w:p>
        </w:tc>
        <w:tc>
          <w:tcPr>
            <w:tcW w:w="3828" w:type="dxa"/>
            <w:noWrap w:val="0"/>
            <w:vAlign w:val="center"/>
          </w:tcPr>
          <w:p w14:paraId="1305E7CD">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持续开展区级温室气体清单编制。</w:t>
            </w:r>
          </w:p>
        </w:tc>
        <w:tc>
          <w:tcPr>
            <w:tcW w:w="684" w:type="dxa"/>
            <w:noWrap w:val="0"/>
            <w:vAlign w:val="center"/>
          </w:tcPr>
          <w:p w14:paraId="7CFB194E">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48CF377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3276516D">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tc>
        <w:tc>
          <w:tcPr>
            <w:tcW w:w="1475" w:type="dxa"/>
            <w:noWrap w:val="0"/>
            <w:vAlign w:val="center"/>
          </w:tcPr>
          <w:p w14:paraId="10DD1C3B">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1543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64" w:type="dxa"/>
            <w:vMerge w:val="continue"/>
            <w:noWrap w:val="0"/>
            <w:vAlign w:val="center"/>
          </w:tcPr>
          <w:p w14:paraId="589C1F0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4F815318">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00739A9E">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做好全区能源运行监测分析，夯实碳排放核算数据基础，定期统计核算全区能源运行碳排放情况，加强碳排放形势分析会商。</w:t>
            </w:r>
          </w:p>
          <w:p w14:paraId="3CC05AF5">
            <w:pPr>
              <w:keepNext w:val="0"/>
              <w:keepLines w:val="0"/>
              <w:suppressLineNumbers w:val="0"/>
              <w:snapToGrid w:val="0"/>
              <w:spacing w:before="0" w:beforeAutospacing="0" w:after="0" w:afterAutospacing="0"/>
              <w:ind w:left="0" w:right="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按季度开展区级碳排放形势分析。</w:t>
            </w:r>
          </w:p>
        </w:tc>
        <w:tc>
          <w:tcPr>
            <w:tcW w:w="684" w:type="dxa"/>
            <w:noWrap w:val="0"/>
            <w:vAlign w:val="center"/>
          </w:tcPr>
          <w:p w14:paraId="46F846F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5044695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7091C042">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6D2B426C">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区统计局</w:t>
            </w:r>
          </w:p>
          <w:p w14:paraId="5FA14488">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2F6EDE9F">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tc>
        <w:tc>
          <w:tcPr>
            <w:tcW w:w="1475" w:type="dxa"/>
            <w:noWrap w:val="0"/>
            <w:vAlign w:val="center"/>
          </w:tcPr>
          <w:p w14:paraId="62D06C0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区供电公司</w:t>
            </w:r>
          </w:p>
        </w:tc>
      </w:tr>
      <w:tr w14:paraId="6F62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564" w:type="dxa"/>
            <w:vMerge w:val="restart"/>
            <w:noWrap w:val="0"/>
            <w:vAlign w:val="center"/>
          </w:tcPr>
          <w:p w14:paraId="5AEA2009">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lang w:val="en"/>
              </w:rPr>
            </w:pPr>
            <w:r>
              <w:rPr>
                <w:rFonts w:hint="eastAsia" w:ascii="仿宋_GB2312" w:hAnsi="仿宋_GB2312" w:eastAsia="仿宋_GB2312" w:cs="仿宋_GB2312"/>
                <w:kern w:val="0"/>
                <w:sz w:val="21"/>
                <w:szCs w:val="21"/>
              </w:rPr>
              <w:t>17</w:t>
            </w:r>
          </w:p>
        </w:tc>
        <w:tc>
          <w:tcPr>
            <w:tcW w:w="1104" w:type="dxa"/>
            <w:vMerge w:val="restart"/>
            <w:noWrap w:val="0"/>
            <w:vAlign w:val="center"/>
          </w:tcPr>
          <w:p w14:paraId="234803B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强化应对气候变化财政及经济政策支持</w:t>
            </w:r>
          </w:p>
        </w:tc>
        <w:tc>
          <w:tcPr>
            <w:tcW w:w="3828" w:type="dxa"/>
            <w:noWrap w:val="0"/>
            <w:vAlign w:val="center"/>
          </w:tcPr>
          <w:p w14:paraId="2E391977">
            <w:pPr>
              <w:pStyle w:val="9"/>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统筹做好对减缓和适应气候变化工作的资金保障，鼓励低碳技术研发推广和项目建设，逐步削减对燃气供暖等化石能源消费的政策补贴，加强对光伏发电、地热及热泵等可再生能源开发利用以及非二氧化碳温室气体、低碳试点示范等方面的政策支持。</w:t>
            </w:r>
          </w:p>
        </w:tc>
        <w:tc>
          <w:tcPr>
            <w:tcW w:w="684" w:type="dxa"/>
            <w:vMerge w:val="restart"/>
            <w:noWrap w:val="0"/>
            <w:vAlign w:val="center"/>
          </w:tcPr>
          <w:p w14:paraId="08F71D6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422E5029">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vMerge w:val="restart"/>
            <w:noWrap w:val="0"/>
            <w:vAlign w:val="center"/>
          </w:tcPr>
          <w:p w14:paraId="3245057B">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区发展改革委</w:t>
            </w:r>
          </w:p>
          <w:p w14:paraId="6BDD144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区财政局</w:t>
            </w:r>
          </w:p>
          <w:p w14:paraId="73F070A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tc>
        <w:tc>
          <w:tcPr>
            <w:tcW w:w="1475" w:type="dxa"/>
            <w:vMerge w:val="restart"/>
            <w:noWrap w:val="0"/>
            <w:vAlign w:val="center"/>
          </w:tcPr>
          <w:p w14:paraId="7F716A5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69EE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564" w:type="dxa"/>
            <w:vMerge w:val="continue"/>
            <w:noWrap w:val="0"/>
            <w:vAlign w:val="center"/>
          </w:tcPr>
          <w:p w14:paraId="74B932B0">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1104" w:type="dxa"/>
            <w:vMerge w:val="continue"/>
            <w:noWrap w:val="0"/>
            <w:vAlign w:val="center"/>
          </w:tcPr>
          <w:p w14:paraId="5B88EA6B">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p>
        </w:tc>
        <w:tc>
          <w:tcPr>
            <w:tcW w:w="3828" w:type="dxa"/>
            <w:noWrap w:val="0"/>
            <w:vAlign w:val="center"/>
          </w:tcPr>
          <w:p w14:paraId="436E8DF8">
            <w:pPr>
              <w:pStyle w:val="9"/>
              <w:keepNext w:val="0"/>
              <w:keepLines w:val="0"/>
              <w:widowControl/>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力推进气候投融资等绿色金融政策，引导更多社会资金流向应对气候变化领域。推动落实北京市碳资产质押融资试点方案，探索开展京津冀区域内绿色金融合作模式。加大对应对气候变化和双碳领域的科技支撑。</w:t>
            </w:r>
          </w:p>
        </w:tc>
        <w:tc>
          <w:tcPr>
            <w:tcW w:w="684" w:type="dxa"/>
            <w:vMerge w:val="continue"/>
            <w:noWrap w:val="0"/>
            <w:vAlign w:val="center"/>
          </w:tcPr>
          <w:p w14:paraId="67958AA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p>
        </w:tc>
        <w:tc>
          <w:tcPr>
            <w:tcW w:w="1369" w:type="dxa"/>
            <w:vMerge w:val="continue"/>
            <w:noWrap w:val="0"/>
            <w:vAlign w:val="center"/>
          </w:tcPr>
          <w:p w14:paraId="4B36DB2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p>
        </w:tc>
        <w:tc>
          <w:tcPr>
            <w:tcW w:w="1475" w:type="dxa"/>
            <w:vMerge w:val="continue"/>
            <w:noWrap w:val="0"/>
            <w:vAlign w:val="center"/>
          </w:tcPr>
          <w:p w14:paraId="4640AC1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p>
        </w:tc>
      </w:tr>
      <w:tr w14:paraId="011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564" w:type="dxa"/>
            <w:vMerge w:val="restart"/>
            <w:noWrap w:val="0"/>
            <w:vAlign w:val="center"/>
          </w:tcPr>
          <w:p w14:paraId="373EE427">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w:t>
            </w:r>
          </w:p>
        </w:tc>
        <w:tc>
          <w:tcPr>
            <w:tcW w:w="1104" w:type="dxa"/>
            <w:vMerge w:val="restart"/>
            <w:noWrap w:val="0"/>
            <w:vAlign w:val="center"/>
          </w:tcPr>
          <w:p w14:paraId="41E762A5">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加强宣传引导教育</w:t>
            </w:r>
          </w:p>
        </w:tc>
        <w:tc>
          <w:tcPr>
            <w:tcW w:w="3828" w:type="dxa"/>
            <w:noWrap w:val="0"/>
            <w:vAlign w:val="center"/>
          </w:tcPr>
          <w:p w14:paraId="74AA0CC1">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加大应对气候变化宣传力度。组织开展2025年全国低碳日、世界环境日、生态日等宣传活动。推广高效低碳绿色产品，利用碳普惠等形式，引导市民积极参与低碳出行与垃圾分类等绿色低碳的生活方式和消费理念。</w:t>
            </w:r>
          </w:p>
        </w:tc>
        <w:tc>
          <w:tcPr>
            <w:tcW w:w="684" w:type="dxa"/>
            <w:noWrap w:val="0"/>
            <w:vAlign w:val="center"/>
          </w:tcPr>
          <w:p w14:paraId="5261A79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09DD153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040373F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6E042F5D">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p w14:paraId="4BC753C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区交通局</w:t>
            </w:r>
          </w:p>
          <w:p w14:paraId="166B0FA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区城市管理委</w:t>
            </w:r>
          </w:p>
          <w:p w14:paraId="18BB973C">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区机关事务中心</w:t>
            </w:r>
          </w:p>
        </w:tc>
        <w:tc>
          <w:tcPr>
            <w:tcW w:w="1475" w:type="dxa"/>
            <w:noWrap w:val="0"/>
            <w:vAlign w:val="center"/>
          </w:tcPr>
          <w:p w14:paraId="7BD23995">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各镇人民政府</w:t>
            </w:r>
          </w:p>
          <w:p w14:paraId="4F022FFF">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各街道办事处</w:t>
            </w:r>
          </w:p>
          <w:p w14:paraId="0174DC7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各产业园区管委会</w:t>
            </w:r>
          </w:p>
          <w:p w14:paraId="30D29FA3">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临空经济区大兴片区管委会</w:t>
            </w:r>
          </w:p>
        </w:tc>
      </w:tr>
      <w:tr w14:paraId="7F63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564" w:type="dxa"/>
            <w:vMerge w:val="continue"/>
            <w:noWrap w:val="0"/>
            <w:vAlign w:val="center"/>
          </w:tcPr>
          <w:p w14:paraId="7E9BAF04">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p>
        </w:tc>
        <w:tc>
          <w:tcPr>
            <w:tcW w:w="1104" w:type="dxa"/>
            <w:vMerge w:val="continue"/>
            <w:noWrap w:val="0"/>
            <w:vAlign w:val="center"/>
          </w:tcPr>
          <w:p w14:paraId="76C0D8C6">
            <w:pPr>
              <w:keepNext w:val="0"/>
              <w:keepLines w:val="0"/>
              <w:widowControl/>
              <w:suppressLineNumbers w:val="0"/>
              <w:snapToGrid w:val="0"/>
              <w:spacing w:before="0" w:beforeAutospacing="0" w:after="0" w:afterAutospacing="0"/>
              <w:ind w:left="0" w:right="0"/>
              <w:jc w:val="left"/>
              <w:rPr>
                <w:rFonts w:hint="eastAsia" w:ascii="仿宋_GB2312" w:hAnsi="仿宋_GB2312" w:eastAsia="仿宋_GB2312" w:cs="仿宋_GB2312"/>
                <w:kern w:val="0"/>
                <w:sz w:val="21"/>
                <w:szCs w:val="21"/>
              </w:rPr>
            </w:pPr>
          </w:p>
        </w:tc>
        <w:tc>
          <w:tcPr>
            <w:tcW w:w="3828" w:type="dxa"/>
            <w:noWrap w:val="0"/>
            <w:vAlign w:val="center"/>
          </w:tcPr>
          <w:p w14:paraId="75C80EA8">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开展应对气候变化、碳市场等相关教育培训，提高各级党员领导干部、高校和企业人员、社会公众应对气候变化知识的培训力度，将应对气候变化纳入干部教育培训的重要内容，加大应对气候变化领域人才培养，提升推动低碳发展本领。</w:t>
            </w:r>
          </w:p>
        </w:tc>
        <w:tc>
          <w:tcPr>
            <w:tcW w:w="684" w:type="dxa"/>
            <w:noWrap w:val="0"/>
            <w:vAlign w:val="center"/>
          </w:tcPr>
          <w:p w14:paraId="05036F1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659C6E27">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388B9900">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区生态环境局</w:t>
            </w:r>
          </w:p>
          <w:p w14:paraId="4F78CCCE">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区委组织部</w:t>
            </w:r>
          </w:p>
          <w:p w14:paraId="009D19C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区教委</w:t>
            </w:r>
          </w:p>
        </w:tc>
        <w:tc>
          <w:tcPr>
            <w:tcW w:w="1475" w:type="dxa"/>
            <w:noWrap w:val="0"/>
            <w:vAlign w:val="center"/>
          </w:tcPr>
          <w:p w14:paraId="7A67655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各镇人民政府</w:t>
            </w:r>
          </w:p>
          <w:p w14:paraId="3CC07AC1">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各街道办事处</w:t>
            </w:r>
          </w:p>
          <w:p w14:paraId="78ECB12E">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各产业园区管委会</w:t>
            </w:r>
          </w:p>
          <w:p w14:paraId="35D11BCA">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临空经济区大兴片区管委会</w:t>
            </w:r>
          </w:p>
        </w:tc>
      </w:tr>
      <w:tr w14:paraId="5063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564" w:type="dxa"/>
            <w:noWrap w:val="0"/>
            <w:vAlign w:val="center"/>
          </w:tcPr>
          <w:p w14:paraId="30D86AB8">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w:t>
            </w:r>
          </w:p>
        </w:tc>
        <w:tc>
          <w:tcPr>
            <w:tcW w:w="1104" w:type="dxa"/>
            <w:noWrap w:val="0"/>
            <w:vAlign w:val="center"/>
          </w:tcPr>
          <w:p w14:paraId="200F83C6">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参与交流合作</w:t>
            </w:r>
          </w:p>
        </w:tc>
        <w:tc>
          <w:tcPr>
            <w:tcW w:w="3828" w:type="dxa"/>
            <w:noWrap w:val="0"/>
            <w:vAlign w:val="center"/>
          </w:tcPr>
          <w:p w14:paraId="74253998">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积极参与应对气候变化国际交流合作与国际大都市清洁空气与气候行动论坛，宣传大兴低碳发展实践成效，讲好大兴故事。</w:t>
            </w:r>
          </w:p>
          <w:p w14:paraId="1211C658">
            <w:pPr>
              <w:keepNext w:val="0"/>
              <w:keepLines w:val="0"/>
              <w:suppressLineNumbers w:val="0"/>
              <w:snapToGrid w:val="0"/>
              <w:spacing w:before="0" w:beforeAutospacing="0" w:after="0" w:afterAutospacing="0"/>
              <w:ind w:left="0" w:right="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加强京津冀区域应对气候变化领域交流合作。</w:t>
            </w:r>
          </w:p>
        </w:tc>
        <w:tc>
          <w:tcPr>
            <w:tcW w:w="684" w:type="dxa"/>
            <w:noWrap w:val="0"/>
            <w:vAlign w:val="center"/>
          </w:tcPr>
          <w:p w14:paraId="4C842B36">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年底</w:t>
            </w:r>
          </w:p>
          <w:p w14:paraId="6C7D56AE">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前</w:t>
            </w:r>
          </w:p>
        </w:tc>
        <w:tc>
          <w:tcPr>
            <w:tcW w:w="1369" w:type="dxa"/>
            <w:noWrap w:val="0"/>
            <w:vAlign w:val="center"/>
          </w:tcPr>
          <w:p w14:paraId="06E6219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区生态环境局</w:t>
            </w:r>
          </w:p>
          <w:p w14:paraId="09DA6E74">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区发展改革委</w:t>
            </w:r>
          </w:p>
        </w:tc>
        <w:tc>
          <w:tcPr>
            <w:tcW w:w="1475" w:type="dxa"/>
            <w:noWrap w:val="0"/>
            <w:vAlign w:val="center"/>
          </w:tcPr>
          <w:p w14:paraId="5400ABDE">
            <w:pPr>
              <w:keepNext w:val="0"/>
              <w:keepLines w:val="0"/>
              <w:suppressLineNumbers w:val="0"/>
              <w:snapToGrid w:val="0"/>
              <w:spacing w:before="0" w:beforeAutospacing="0" w:after="0" w:afterAutospacing="0"/>
              <w:ind w:left="-105" w:leftChars="-50" w:right="-105" w:rightChars="-5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bl>
    <w:p w14:paraId="4E81D9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644E22-17BC-4609-B7A2-8A1F1D97A1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7B73691-8DD6-4F27-84DF-7733B1A3586F}"/>
  </w:font>
  <w:font w:name="方正小标宋简体">
    <w:panose1 w:val="02000000000000000000"/>
    <w:charset w:val="86"/>
    <w:family w:val="script"/>
    <w:pitch w:val="default"/>
    <w:sig w:usb0="00000001" w:usb1="080E0000" w:usb2="00000000" w:usb3="00000000" w:csb0="00040000" w:csb1="00000000"/>
    <w:embedRegular r:id="rId3" w:fontKey="{A3B27DEE-DC10-4720-9A7F-BC52CBAAEDF0}"/>
  </w:font>
  <w:font w:name="仿宋_GB2312">
    <w:panose1 w:val="02010609030101010101"/>
    <w:charset w:val="86"/>
    <w:family w:val="auto"/>
    <w:pitch w:val="default"/>
    <w:sig w:usb0="00000001" w:usb1="080E0000" w:usb2="00000000" w:usb3="00000000" w:csb0="00040000" w:csb1="00000000"/>
    <w:embedRegular r:id="rId4" w:fontKey="{A81AE982-6A7F-4F54-937F-B34CA5C131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1601"/>
    <w:rsid w:val="7FFA1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libri" w:hAnsi="Calibri" w:cs="黑体"/>
      <w:szCs w:val="22"/>
    </w:rPr>
  </w:style>
  <w:style w:type="paragraph" w:styleId="3">
    <w:name w:val="Body Text Indent"/>
    <w:basedOn w:val="1"/>
    <w:unhideWhenUsed/>
    <w:qFormat/>
    <w:uiPriority w:val="99"/>
    <w:pPr>
      <w:spacing w:after="120"/>
      <w:ind w:left="420" w:leftChars="200"/>
    </w:pPr>
  </w:style>
  <w:style w:type="paragraph" w:styleId="4">
    <w:name w:val="Body Text"/>
    <w:basedOn w:val="1"/>
    <w:next w:val="5"/>
    <w:unhideWhenUsed/>
    <w:qFormat/>
    <w:uiPriority w:val="99"/>
    <w:pPr>
      <w:spacing w:after="120" w:afterLines="0"/>
    </w:pPr>
    <w:rPr>
      <w:szCs w:val="20"/>
    </w:r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6">
    <w:name w:val="Plain Text"/>
    <w:basedOn w:val="1"/>
    <w:qFormat/>
    <w:uiPriority w:val="0"/>
    <w:rPr>
      <w:rFonts w:ascii="宋体" w:hAnsi="Courier New"/>
      <w:sz w:val="32"/>
      <w:szCs w:val="32"/>
    </w:rPr>
  </w:style>
  <w:style w:type="paragraph" w:customStyle="1" w:styleId="9">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2025-03-17T06:08:00Z</dcterms:created>
  <dc:creator>王亚楠</dc:creator>
  <cp:lastModifiedBy>王亚楠</cp:lastModifiedBy>
  <dcterms:modified xsi:type="dcterms:W3CDTF">2025-03-17T06:08:22Z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6A22487D9D7647F19F10D3EB7C03862A_11</vt:lpwstr>
  </property>
  <property fmtid="{D5CDD505-2E9C-101B-9397-08002B2CF9AE}" pid="4" name="KSOTemplateDocerSaveRecord">
    <vt:lpwstr>eyJoZGlkIjoiZWFmODEzMjhjYzAyOGQ2M2M1OWQ1ODAyZTg4N2UwN2UiLCJ1c2VySWQiOiIxNjE1MzA0NDk4In0=</vt:lpwstr>
  </property>
</Properties>
</file>