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Cs w:val="44"/>
        </w:rPr>
      </w:pPr>
      <w:r>
        <w:rPr>
          <w:rFonts w:hint="eastAsia" w:ascii="华文中宋" w:hAnsi="华文中宋" w:eastAsia="华文中宋"/>
          <w:b/>
          <w:color w:val="auto"/>
          <w:szCs w:val="44"/>
        </w:rPr>
        <w:t>北京市大兴区</w:t>
      </w:r>
      <w:r>
        <w:rPr>
          <w:rFonts w:hint="eastAsia" w:ascii="华文中宋" w:hAnsi="华文中宋" w:eastAsia="华文中宋"/>
          <w:b/>
          <w:color w:val="auto"/>
          <w:szCs w:val="44"/>
          <w:lang w:eastAsia="zh-CN"/>
        </w:rPr>
        <w:t>发展和改革委员会2008</w:t>
      </w:r>
      <w:r>
        <w:rPr>
          <w:rFonts w:hint="eastAsia" w:ascii="华文中宋" w:hAnsi="华文中宋" w:eastAsia="华文中宋"/>
          <w:b/>
          <w:color w:val="auto"/>
          <w:szCs w:val="44"/>
        </w:rPr>
        <w:t>年度</w:t>
      </w:r>
    </w:p>
    <w:p>
      <w:pPr>
        <w:pStyle w:val="3"/>
        <w:adjustRightInd w:val="0"/>
        <w:spacing w:before="312" w:beforeLines="100" w:after="312" w:afterLines="100" w:line="560" w:lineRule="exact"/>
        <w:rPr>
          <w:rFonts w:ascii="华文中宋" w:hAnsi="华文中宋" w:eastAsia="华文中宋"/>
          <w:b/>
          <w:color w:val="auto"/>
          <w:sz w:val="52"/>
          <w:szCs w:val="52"/>
        </w:rPr>
      </w:pPr>
      <w:r>
        <w:rPr>
          <w:rFonts w:hint="eastAsia" w:ascii="华文中宋" w:hAnsi="华文中宋" w:eastAsia="华文中宋"/>
          <w:b/>
          <w:color w:val="auto"/>
          <w:szCs w:val="44"/>
        </w:rPr>
        <w:t>政府信息公开工作年度报告</w:t>
      </w:r>
    </w:p>
    <w:p>
      <w:pPr>
        <w:widowControl/>
        <w:spacing w:line="560" w:lineRule="exact"/>
        <w:ind w:firstLine="641" w:firstLineChars="304"/>
        <w:outlineLvl w:val="0"/>
        <w:rPr>
          <w:rFonts w:ascii="仿宋_GB2312" w:hAnsi="宋体" w:eastAsia="仿宋_GB2312" w:cs="宋体"/>
          <w:color w:val="000000"/>
          <w:kern w:val="0"/>
          <w:sz w:val="32"/>
          <w:szCs w:val="32"/>
        </w:rPr>
      </w:pPr>
      <w:r>
        <w:rPr>
          <w:rFonts w:ascii="宋体" w:hAnsi="宋体"/>
          <w:b/>
          <w:szCs w:val="44"/>
        </w:rPr>
        <w:br w:type="page"/>
      </w:r>
      <w:r>
        <w:rPr>
          <w:rFonts w:hint="eastAsia" w:ascii="仿宋_GB2312" w:hAnsi="宋体" w:eastAsia="仿宋_GB2312" w:cs="宋体"/>
          <w:color w:val="000000"/>
          <w:kern w:val="0"/>
          <w:sz w:val="32"/>
          <w:szCs w:val="32"/>
        </w:rPr>
        <w:t>本报告是根据《中华人民共和国政府信息公开条例》（以下</w:t>
      </w:r>
      <w:r>
        <w:rPr>
          <w:rFonts w:hint="eastAsia" w:ascii="仿宋_GB2312" w:hAnsi="宋体" w:eastAsia="仿宋_GB2312"/>
          <w:sz w:val="32"/>
          <w:szCs w:val="32"/>
        </w:rPr>
        <w:t>简称《条例》）要求</w:t>
      </w:r>
      <w:r>
        <w:rPr>
          <w:rFonts w:hint="eastAsia" w:ascii="仿宋_GB2312" w:hAnsi="宋体" w:eastAsia="仿宋_GB2312"/>
          <w:color w:val="000000"/>
          <w:sz w:val="32"/>
          <w:szCs w:val="32"/>
        </w:rPr>
        <w:t>，由北京市大兴区北京市大兴区发展和改革委员会编</w:t>
      </w:r>
      <w:r>
        <w:rPr>
          <w:rFonts w:hint="eastAsia" w:ascii="仿宋_GB2312" w:hAnsi="宋体" w:eastAsia="仿宋_GB2312" w:cs="宋体"/>
          <w:color w:val="000000"/>
          <w:kern w:val="0"/>
          <w:sz w:val="32"/>
          <w:szCs w:val="32"/>
        </w:rPr>
        <w:t>制的</w:t>
      </w:r>
      <w:r>
        <w:rPr>
          <w:rFonts w:hint="eastAsia" w:ascii="仿宋_GB2312" w:hAnsi="宋体" w:eastAsia="仿宋_GB2312" w:cs="宋体"/>
          <w:color w:val="000000"/>
          <w:kern w:val="0"/>
          <w:sz w:val="32"/>
          <w:szCs w:val="32"/>
          <w:lang w:eastAsia="zh-CN"/>
        </w:rPr>
        <w:t>2008</w:t>
      </w:r>
      <w:r>
        <w:rPr>
          <w:rFonts w:hint="eastAsia" w:ascii="仿宋_GB2312" w:hAnsi="宋体" w:eastAsia="仿宋_GB2312" w:cs="宋体"/>
          <w:color w:val="000000"/>
          <w:kern w:val="0"/>
          <w:sz w:val="32"/>
          <w:szCs w:val="32"/>
        </w:rPr>
        <w:t>年度政府信息公开年度报告。</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本报告中所列数据的统计期限自</w:t>
      </w:r>
      <w:r>
        <w:rPr>
          <w:rFonts w:hint="eastAsia" w:ascii="仿宋_GB2312" w:hAnsi="宋体" w:eastAsia="仿宋_GB2312" w:cs="宋体"/>
          <w:kern w:val="0"/>
          <w:sz w:val="32"/>
          <w:szCs w:val="32"/>
          <w:lang w:eastAsia="zh-CN"/>
        </w:rPr>
        <w:t>2008</w:t>
      </w:r>
      <w:r>
        <w:rPr>
          <w:rFonts w:hint="eastAsia" w:ascii="仿宋_GB2312" w:hAnsi="宋体" w:eastAsia="仿宋_GB2312" w:cs="宋体"/>
          <w:kern w:val="0"/>
          <w:sz w:val="32"/>
          <w:szCs w:val="32"/>
        </w:rPr>
        <w:t>年1月1日起至</w:t>
      </w:r>
      <w:r>
        <w:rPr>
          <w:rFonts w:hint="eastAsia" w:ascii="仿宋_GB2312" w:hAnsi="宋体" w:eastAsia="仿宋_GB2312" w:cs="宋体"/>
          <w:kern w:val="0"/>
          <w:sz w:val="32"/>
          <w:szCs w:val="32"/>
          <w:lang w:eastAsia="zh-CN"/>
        </w:rPr>
        <w:t>2008</w:t>
      </w:r>
      <w:r>
        <w:rPr>
          <w:rFonts w:hint="eastAsia" w:ascii="仿宋_GB2312" w:hAnsi="宋体" w:eastAsia="仿宋_GB2312" w:cs="宋体"/>
          <w:kern w:val="0"/>
          <w:sz w:val="32"/>
          <w:szCs w:val="32"/>
        </w:rPr>
        <w:t>年12月31日止。本报告的电子</w:t>
      </w:r>
      <w:r>
        <w:rPr>
          <w:rFonts w:hint="eastAsia" w:ascii="仿宋_GB2312" w:hAnsi="宋体" w:eastAsia="仿宋_GB2312" w:cs="宋体"/>
          <w:spacing w:val="-2"/>
          <w:kern w:val="0"/>
          <w:sz w:val="32"/>
          <w:szCs w:val="32"/>
        </w:rPr>
        <w:t>版可在大兴信息网（</w:t>
      </w:r>
      <w:r>
        <w:rPr>
          <w:rFonts w:ascii="仿宋_GB2312" w:hAnsi="宋体" w:eastAsia="仿宋_GB2312" w:cs="宋体"/>
          <w:color w:val="000000"/>
          <w:spacing w:val="-12"/>
          <w:kern w:val="0"/>
          <w:sz w:val="32"/>
          <w:szCs w:val="32"/>
        </w:rPr>
        <w:t>http://www.bjdx.gov.cn/</w:t>
      </w:r>
      <w:r>
        <w:rPr>
          <w:rFonts w:hint="eastAsia" w:ascii="仿宋_GB2312" w:hAnsi="宋体" w:eastAsia="仿宋_GB2312" w:cs="宋体"/>
          <w:spacing w:val="-2"/>
          <w:kern w:val="0"/>
          <w:sz w:val="32"/>
          <w:szCs w:val="32"/>
        </w:rPr>
        <w:t>）信息公开栏目中下载。</w:t>
      </w:r>
      <w:r>
        <w:rPr>
          <w:rFonts w:hint="eastAsia" w:ascii="仿宋_GB2312" w:hAnsi="宋体" w:eastAsia="仿宋_GB2312" w:cs="宋体"/>
          <w:kern w:val="0"/>
          <w:sz w:val="32"/>
          <w:szCs w:val="32"/>
        </w:rPr>
        <w:t>如对报告有任何疑问，请与</w:t>
      </w:r>
      <w:r>
        <w:rPr>
          <w:rFonts w:hint="eastAsia" w:ascii="仿宋_GB2312" w:hAnsi="宋体" w:eastAsia="仿宋_GB2312" w:cs="宋体"/>
          <w:color w:val="000000"/>
          <w:kern w:val="0"/>
          <w:sz w:val="32"/>
          <w:szCs w:val="32"/>
        </w:rPr>
        <w:t>北京市大兴区发展和改革委员会</w:t>
      </w:r>
      <w:r>
        <w:rPr>
          <w:rFonts w:hint="eastAsia" w:ascii="仿宋_GB2312" w:hAnsi="宋体" w:eastAsia="仿宋_GB2312" w:cs="宋体"/>
          <w:kern w:val="0"/>
          <w:sz w:val="32"/>
          <w:szCs w:val="32"/>
        </w:rPr>
        <w:t>联系（地址:北京市大兴区</w:t>
      </w:r>
      <w:r>
        <w:rPr>
          <w:rFonts w:hint="eastAsia" w:ascii="仿宋_GB2312" w:hAnsi="宋体" w:eastAsia="仿宋_GB2312" w:cs="宋体"/>
          <w:color w:val="000000"/>
          <w:kern w:val="0"/>
          <w:sz w:val="32"/>
          <w:szCs w:val="32"/>
          <w:lang w:eastAsia="zh-CN"/>
        </w:rPr>
        <w:t>兴华大街三段</w:t>
      </w:r>
      <w:r>
        <w:rPr>
          <w:rFonts w:hint="eastAsia" w:ascii="仿宋_GB2312" w:hAnsi="宋体" w:eastAsia="仿宋_GB2312" w:cs="宋体"/>
          <w:color w:val="000000"/>
          <w:kern w:val="0"/>
          <w:sz w:val="32"/>
          <w:szCs w:val="32"/>
          <w:lang w:val="en-US" w:eastAsia="zh-CN"/>
        </w:rPr>
        <w:t>15号</w:t>
      </w:r>
      <w:r>
        <w:rPr>
          <w:rFonts w:hint="eastAsia" w:ascii="仿宋_GB2312" w:hAnsi="宋体" w:eastAsia="仿宋_GB2312" w:cs="宋体"/>
          <w:kern w:val="0"/>
          <w:sz w:val="32"/>
          <w:szCs w:val="32"/>
        </w:rPr>
        <w:t>；邮编：</w:t>
      </w:r>
      <w:r>
        <w:rPr>
          <w:rFonts w:hint="eastAsia" w:ascii="仿宋_GB2312" w:hAnsi="宋体" w:eastAsia="仿宋_GB2312" w:cs="宋体"/>
          <w:color w:val="000000"/>
          <w:kern w:val="0"/>
          <w:sz w:val="32"/>
          <w:szCs w:val="32"/>
          <w:lang w:val="en-US" w:eastAsia="zh-CN"/>
        </w:rPr>
        <w:t>102600</w:t>
      </w:r>
      <w:r>
        <w:rPr>
          <w:rFonts w:hint="eastAsia" w:ascii="仿宋_GB2312" w:hAnsi="宋体" w:eastAsia="仿宋_GB2312" w:cs="宋体"/>
          <w:kern w:val="0"/>
          <w:sz w:val="32"/>
          <w:szCs w:val="32"/>
        </w:rPr>
        <w:t>；</w:t>
      </w:r>
      <w:r>
        <w:rPr>
          <w:rFonts w:hint="eastAsia" w:ascii="仿宋_GB2312" w:hAnsi="宋体" w:eastAsia="仿宋_GB2312" w:cs="宋体"/>
          <w:spacing w:val="-12"/>
          <w:kern w:val="15"/>
          <w:sz w:val="32"/>
          <w:szCs w:val="32"/>
        </w:rPr>
        <w:t>联系电话：010-</w:t>
      </w:r>
      <w:r>
        <w:rPr>
          <w:rFonts w:hint="eastAsia" w:ascii="仿宋_GB2312" w:hAnsi="宋体" w:eastAsia="仿宋_GB2312" w:cs="宋体"/>
          <w:color w:val="000000"/>
          <w:kern w:val="0"/>
          <w:sz w:val="32"/>
          <w:szCs w:val="32"/>
          <w:lang w:val="en-US" w:eastAsia="zh-CN"/>
        </w:rPr>
        <w:t>61298109</w:t>
      </w:r>
      <w:r>
        <w:rPr>
          <w:rFonts w:hint="eastAsia" w:ascii="仿宋_GB2312" w:hAnsi="宋体" w:eastAsia="仿宋_GB2312" w:cs="宋体"/>
          <w:spacing w:val="-12"/>
          <w:kern w:val="15"/>
          <w:sz w:val="32"/>
          <w:szCs w:val="32"/>
        </w:rPr>
        <w:t>；电子邮箱：</w:t>
      </w:r>
      <w:r>
        <w:rPr>
          <w:rFonts w:hint="eastAsia" w:ascii="仿宋_GB2312" w:hAnsi="宋体" w:eastAsia="仿宋_GB2312" w:cs="宋体"/>
          <w:color w:val="000000"/>
          <w:kern w:val="0"/>
          <w:sz w:val="32"/>
          <w:szCs w:val="32"/>
          <w:lang w:val="en-US" w:eastAsia="zh-CN"/>
        </w:rPr>
        <w:t>zhangbo_403253111@qq.com</w:t>
      </w:r>
      <w:r>
        <w:rPr>
          <w:rFonts w:hint="eastAsia" w:ascii="仿宋_GB2312" w:hAnsi="宋体" w:eastAsia="仿宋_GB2312" w:cs="宋体"/>
          <w:spacing w:val="-12"/>
          <w:kern w:val="15"/>
          <w:sz w:val="32"/>
          <w:szCs w:val="32"/>
        </w:rPr>
        <w:t>）。</w:t>
      </w:r>
    </w:p>
    <w:p>
      <w:pPr>
        <w:widowControl/>
        <w:spacing w:after="312" w:afterLines="100" w:line="560" w:lineRule="exact"/>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br w:type="page"/>
      </w:r>
      <w:r>
        <w:rPr>
          <w:rFonts w:hint="eastAsia" w:ascii="黑体" w:hAnsi="宋体" w:eastAsia="黑体" w:cs="宋体"/>
          <w:color w:val="000000"/>
          <w:kern w:val="0"/>
          <w:sz w:val="32"/>
          <w:szCs w:val="32"/>
        </w:rPr>
        <w:t>一、概述</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根据《信息公开条例》规定，本委完善了信息公开的制度机制，成立了政府信息公开领导小组，配备了专职人员，负责政府信息公开的更新、管理和维护工作</w:t>
      </w:r>
      <w:r>
        <w:rPr>
          <w:rFonts w:hint="eastAsia" w:ascii="仿宋_GB2312" w:hAnsi="宋体" w:eastAsia="仿宋_GB2312" w:cs="宋体"/>
          <w:kern w:val="0"/>
          <w:sz w:val="32"/>
          <w:szCs w:val="32"/>
        </w:rPr>
        <w:t>。</w:t>
      </w:r>
    </w:p>
    <w:p>
      <w:pPr>
        <w:widowControl/>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2008年本委</w:t>
      </w:r>
      <w:r>
        <w:rPr>
          <w:rFonts w:hint="eastAsia" w:ascii="仿宋_GB2312" w:hAnsi="华文中宋" w:eastAsia="仿宋_GB2312"/>
          <w:sz w:val="32"/>
          <w:szCs w:val="32"/>
        </w:rPr>
        <w:t>严格按照上级部门政府信息清理、依申请公开、发布协调、保密审查、虚假或不完整信息澄清、公开专栏管理、纸质文件移送等相关制度规定开展工作</w:t>
      </w:r>
      <w:r>
        <w:rPr>
          <w:rFonts w:hint="eastAsia" w:ascii="仿宋_GB2312" w:hAnsi="华文中宋" w:eastAsia="仿宋_GB2312"/>
          <w:sz w:val="32"/>
          <w:szCs w:val="32"/>
          <w:lang w:eastAsia="zh-CN"/>
        </w:rPr>
        <w:t>。工作开展顺利。</w:t>
      </w:r>
    </w:p>
    <w:p>
      <w:pPr>
        <w:widowControl/>
        <w:spacing w:before="312" w:beforeLines="100" w:after="312" w:afterLines="100" w:line="560" w:lineRule="exact"/>
        <w:jc w:val="center"/>
        <w:rPr>
          <w:rFonts w:ascii="黑体" w:hAnsi="宋体" w:eastAsia="黑体" w:cs="宋体"/>
          <w:color w:val="000000"/>
          <w:kern w:val="0"/>
          <w:sz w:val="32"/>
          <w:szCs w:val="32"/>
        </w:rPr>
      </w:pPr>
      <w:r>
        <w:rPr>
          <w:rFonts w:hint="eastAsia" w:ascii="黑体" w:hAnsi="宋体" w:eastAsia="黑体" w:cs="宋体"/>
          <w:color w:val="000000"/>
          <w:kern w:val="0"/>
          <w:sz w:val="32"/>
          <w:szCs w:val="32"/>
        </w:rPr>
        <w:t>二、主动公开情况</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按照《条例》第9至12条规定的主动公开政府信息范围，本</w:t>
      </w:r>
      <w:r>
        <w:rPr>
          <w:rFonts w:hint="eastAsia" w:ascii="仿宋_GB2312" w:hAnsi="华文中宋" w:eastAsia="仿宋_GB2312"/>
          <w:sz w:val="32"/>
          <w:szCs w:val="32"/>
          <w:lang w:eastAsia="zh-CN"/>
        </w:rPr>
        <w:t>委</w:t>
      </w:r>
      <w:r>
        <w:rPr>
          <w:rFonts w:hint="eastAsia" w:ascii="仿宋_GB2312" w:hAnsi="华文中宋" w:eastAsia="仿宋_GB2312"/>
          <w:sz w:val="32"/>
          <w:szCs w:val="32"/>
        </w:rPr>
        <w:t>开展了信息清理和目录编制工作，并按照《条例》第15条规定，通过</w:t>
      </w:r>
      <w:r>
        <w:rPr>
          <w:rFonts w:hint="eastAsia" w:ascii="仿宋_GB2312" w:hAnsi="华文中宋" w:eastAsia="仿宋_GB2312"/>
          <w:sz w:val="32"/>
          <w:szCs w:val="32"/>
          <w:lang w:eastAsia="zh-CN"/>
        </w:rPr>
        <w:t>政府网站</w:t>
      </w:r>
      <w:r>
        <w:rPr>
          <w:rFonts w:hint="eastAsia" w:ascii="仿宋_GB2312" w:hAnsi="华文中宋" w:eastAsia="仿宋_GB2312"/>
          <w:sz w:val="32"/>
          <w:szCs w:val="32"/>
        </w:rPr>
        <w:t>等便于公众知晓的方式主动公开。按照《条例》 第16条规定，继续完善政府信息公开大厅等政府信息公开查阅场所，为公民、法人或者其他组织获取政府信息提供便利。</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主动公开数据</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lang w:eastAsia="zh-CN"/>
        </w:rPr>
        <w:t>2008</w:t>
      </w:r>
      <w:r>
        <w:rPr>
          <w:rFonts w:hint="eastAsia" w:ascii="仿宋_GB2312" w:hAnsi="华文中宋" w:eastAsia="仿宋_GB2312"/>
          <w:sz w:val="32"/>
          <w:szCs w:val="32"/>
        </w:rPr>
        <w:t>年主动公开政府信息数</w:t>
      </w:r>
      <w:r>
        <w:rPr>
          <w:rFonts w:hint="eastAsia" w:ascii="仿宋_GB2312" w:hAnsi="宋体" w:eastAsia="仿宋_GB2312" w:cs="宋体"/>
          <w:kern w:val="0"/>
          <w:sz w:val="32"/>
          <w:szCs w:val="32"/>
          <w:lang w:val="en-US" w:eastAsia="zh-CN"/>
        </w:rPr>
        <w:t>40</w:t>
      </w:r>
      <w:r>
        <w:rPr>
          <w:rFonts w:hint="eastAsia" w:ascii="仿宋_GB2312" w:hAnsi="华文中宋" w:eastAsia="仿宋_GB2312"/>
          <w:sz w:val="32"/>
          <w:szCs w:val="32"/>
        </w:rPr>
        <w:t>条。其中，机构职能类信息</w:t>
      </w:r>
      <w:r>
        <w:rPr>
          <w:rFonts w:hint="eastAsia" w:ascii="仿宋_GB2312" w:hAnsi="宋体" w:eastAsia="仿宋_GB2312" w:cs="宋体"/>
          <w:kern w:val="0"/>
          <w:sz w:val="32"/>
          <w:szCs w:val="32"/>
          <w:lang w:val="en-US" w:eastAsia="zh-CN"/>
        </w:rPr>
        <w:t>2</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1.5</w:t>
      </w:r>
      <w:r>
        <w:rPr>
          <w:rFonts w:ascii="仿宋_GB2312" w:hAnsi="华文中宋" w:eastAsia="仿宋_GB2312"/>
          <w:sz w:val="32"/>
          <w:szCs w:val="32"/>
        </w:rPr>
        <w:t>%</w:t>
      </w:r>
      <w:r>
        <w:rPr>
          <w:rFonts w:hint="eastAsia" w:ascii="仿宋_GB2312" w:hAnsi="华文中宋" w:eastAsia="仿宋_GB2312"/>
          <w:sz w:val="32"/>
          <w:szCs w:val="32"/>
        </w:rPr>
        <w:t>；法规文件类信息</w:t>
      </w:r>
      <w:r>
        <w:rPr>
          <w:rFonts w:hint="eastAsia" w:ascii="仿宋_GB2312" w:hAnsi="宋体" w:eastAsia="仿宋_GB2312" w:cs="宋体"/>
          <w:kern w:val="0"/>
          <w:sz w:val="32"/>
          <w:szCs w:val="32"/>
          <w:lang w:val="en-US" w:eastAsia="zh-CN"/>
        </w:rPr>
        <w:t>13</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22.6</w:t>
      </w:r>
      <w:r>
        <w:rPr>
          <w:rFonts w:ascii="仿宋_GB2312" w:hAnsi="华文中宋" w:eastAsia="仿宋_GB2312"/>
          <w:sz w:val="32"/>
          <w:szCs w:val="32"/>
        </w:rPr>
        <w:t>%</w:t>
      </w:r>
      <w:r>
        <w:rPr>
          <w:rFonts w:hint="eastAsia" w:ascii="仿宋_GB2312" w:hAnsi="华文中宋" w:eastAsia="仿宋_GB2312"/>
          <w:sz w:val="32"/>
          <w:szCs w:val="32"/>
        </w:rPr>
        <w:t>；规划计划类信息</w:t>
      </w:r>
      <w:r>
        <w:rPr>
          <w:rFonts w:hint="eastAsia" w:ascii="仿宋_GB2312" w:hAnsi="宋体" w:eastAsia="仿宋_GB2312" w:cs="宋体"/>
          <w:kern w:val="0"/>
          <w:sz w:val="32"/>
          <w:szCs w:val="32"/>
          <w:lang w:val="en-US" w:eastAsia="zh-CN"/>
        </w:rPr>
        <w:t>10</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10.2</w:t>
      </w:r>
      <w:r>
        <w:rPr>
          <w:rFonts w:ascii="仿宋_GB2312" w:hAnsi="华文中宋" w:eastAsia="仿宋_GB2312"/>
          <w:sz w:val="32"/>
          <w:szCs w:val="32"/>
        </w:rPr>
        <w:t>%</w:t>
      </w:r>
      <w:r>
        <w:rPr>
          <w:rFonts w:hint="eastAsia" w:ascii="仿宋_GB2312" w:hAnsi="华文中宋" w:eastAsia="仿宋_GB2312"/>
          <w:sz w:val="32"/>
          <w:szCs w:val="32"/>
        </w:rPr>
        <w:t>；业务动态类信息</w:t>
      </w:r>
      <w:r>
        <w:rPr>
          <w:rFonts w:hint="eastAsia" w:ascii="仿宋_GB2312" w:hAnsi="宋体" w:eastAsia="仿宋_GB2312" w:cs="宋体"/>
          <w:kern w:val="0"/>
          <w:sz w:val="32"/>
          <w:szCs w:val="32"/>
          <w:lang w:val="en-US" w:eastAsia="zh-CN"/>
        </w:rPr>
        <w:t>17</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49</w:t>
      </w:r>
      <w:r>
        <w:rPr>
          <w:rFonts w:ascii="仿宋_GB2312" w:hAnsi="华文中宋" w:eastAsia="仿宋_GB2312"/>
          <w:sz w:val="32"/>
          <w:szCs w:val="32"/>
        </w:rPr>
        <w:t>%</w:t>
      </w:r>
      <w:r>
        <w:rPr>
          <w:rFonts w:hint="eastAsia" w:ascii="仿宋_GB2312" w:hAnsi="华文中宋" w:eastAsia="仿宋_GB2312"/>
          <w:sz w:val="32"/>
          <w:szCs w:val="32"/>
        </w:rPr>
        <w:t>。重点领域公开政府信息数</w:t>
      </w:r>
      <w:r>
        <w:rPr>
          <w:rFonts w:hint="eastAsia" w:ascii="仿宋_GB2312" w:hAnsi="宋体" w:eastAsia="仿宋_GB2312" w:cs="宋体"/>
          <w:kern w:val="0"/>
          <w:sz w:val="32"/>
          <w:szCs w:val="32"/>
          <w:lang w:val="en-US" w:eastAsia="zh-CN"/>
        </w:rPr>
        <w:t>15</w:t>
      </w:r>
      <w:r>
        <w:rPr>
          <w:rFonts w:hint="eastAsia" w:ascii="仿宋_GB2312" w:hAnsi="华文中宋" w:eastAsia="仿宋_GB2312"/>
          <w:sz w:val="32"/>
          <w:szCs w:val="32"/>
        </w:rPr>
        <w:t>条。其中，主动公开财政预算决算、“三公经费”和行政经费信息数</w:t>
      </w:r>
      <w:r>
        <w:rPr>
          <w:rFonts w:hint="eastAsia" w:ascii="仿宋_GB2312" w:hAnsi="宋体" w:eastAsia="仿宋_GB2312" w:cs="宋体"/>
          <w:kern w:val="0"/>
          <w:sz w:val="32"/>
          <w:szCs w:val="32"/>
          <w:lang w:val="en-US" w:eastAsia="zh-CN"/>
        </w:rPr>
        <w:t>2</w:t>
      </w:r>
      <w:r>
        <w:rPr>
          <w:rFonts w:hint="eastAsia" w:ascii="仿宋_GB2312" w:hAnsi="华文中宋" w:eastAsia="仿宋_GB2312"/>
          <w:sz w:val="32"/>
          <w:szCs w:val="32"/>
        </w:rPr>
        <w:t>条；主动公开政府指导价、政府定价和收费标准调整的项目、价格、依据、执行时间和范围等信息数</w:t>
      </w:r>
      <w:r>
        <w:rPr>
          <w:rFonts w:hint="eastAsia" w:ascii="仿宋_GB2312" w:hAnsi="宋体" w:eastAsia="仿宋_GB2312" w:cs="宋体"/>
          <w:kern w:val="0"/>
          <w:sz w:val="32"/>
          <w:szCs w:val="32"/>
          <w:lang w:val="en-US" w:eastAsia="zh-CN"/>
        </w:rPr>
        <w:t>6</w:t>
      </w:r>
      <w:r>
        <w:rPr>
          <w:rFonts w:hint="eastAsia" w:ascii="仿宋_GB2312" w:hAnsi="华文中宋" w:eastAsia="仿宋_GB2312"/>
          <w:sz w:val="32"/>
          <w:szCs w:val="32"/>
        </w:rPr>
        <w:t>条</w:t>
      </w:r>
      <w:r>
        <w:rPr>
          <w:rFonts w:hint="eastAsia" w:ascii="仿宋_GB2312" w:hAnsi="华文中宋" w:eastAsia="仿宋_GB2312"/>
          <w:sz w:val="32"/>
          <w:szCs w:val="32"/>
          <w:lang w:eastAsia="zh-CN"/>
        </w:rPr>
        <w:t>；规划研究信息数</w:t>
      </w:r>
      <w:r>
        <w:rPr>
          <w:rFonts w:hint="eastAsia" w:ascii="仿宋_GB2312" w:hAnsi="华文中宋" w:eastAsia="仿宋_GB2312"/>
          <w:sz w:val="32"/>
          <w:szCs w:val="32"/>
          <w:lang w:val="en-US" w:eastAsia="zh-CN"/>
        </w:rPr>
        <w:t>11条，</w:t>
      </w:r>
      <w:r>
        <w:rPr>
          <w:rFonts w:hint="eastAsia" w:ascii="仿宋_GB2312" w:hAnsi="华文中宋" w:eastAsia="仿宋_GB2312"/>
          <w:sz w:val="32"/>
          <w:szCs w:val="32"/>
          <w:lang w:eastAsia="zh-CN"/>
        </w:rPr>
        <w:t>节能减排信息数</w:t>
      </w:r>
      <w:r>
        <w:rPr>
          <w:rFonts w:hint="eastAsia" w:ascii="仿宋_GB2312" w:hAnsi="华文中宋" w:eastAsia="仿宋_GB2312"/>
          <w:sz w:val="32"/>
          <w:szCs w:val="32"/>
          <w:lang w:val="en-US" w:eastAsia="zh-CN"/>
        </w:rPr>
        <w:t>4条。</w:t>
      </w:r>
    </w:p>
    <w:p>
      <w:pPr>
        <w:widowControl/>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华文中宋" w:eastAsia="仿宋_GB2312"/>
          <w:sz w:val="32"/>
          <w:szCs w:val="32"/>
        </w:rPr>
        <w:t>通过不同渠道和方式公开政府信息的情况，包括政府网站公开政府信息数</w:t>
      </w:r>
      <w:r>
        <w:rPr>
          <w:rFonts w:hint="eastAsia" w:ascii="仿宋_GB2312" w:hAnsi="华文中宋" w:eastAsia="仿宋_GB2312"/>
          <w:sz w:val="32"/>
          <w:szCs w:val="32"/>
          <w:lang w:val="en-US" w:eastAsia="zh-CN"/>
        </w:rPr>
        <w:t>40</w:t>
      </w:r>
      <w:r>
        <w:rPr>
          <w:rFonts w:hint="eastAsia" w:ascii="仿宋_GB2312" w:hAnsi="华文中宋" w:eastAsia="仿宋_GB2312"/>
          <w:sz w:val="32"/>
          <w:szCs w:val="32"/>
        </w:rPr>
        <w:t>条</w:t>
      </w:r>
      <w:r>
        <w:rPr>
          <w:rFonts w:hint="eastAsia" w:ascii="仿宋_GB2312" w:hAnsi="华文中宋" w:eastAsia="仿宋_GB2312"/>
          <w:sz w:val="32"/>
          <w:szCs w:val="32"/>
          <w:lang w:eastAsia="zh-CN"/>
        </w:rPr>
        <w:t>；</w:t>
      </w:r>
      <w:r>
        <w:rPr>
          <w:rFonts w:hint="eastAsia" w:ascii="仿宋_GB2312" w:hAnsi="华文中宋" w:eastAsia="仿宋_GB2312"/>
          <w:sz w:val="32"/>
          <w:szCs w:val="32"/>
        </w:rPr>
        <w:t>其他方式公开政府信息数</w:t>
      </w:r>
      <w:r>
        <w:rPr>
          <w:rFonts w:hint="eastAsia" w:ascii="仿宋_GB2312" w:hAnsi="宋体" w:eastAsia="仿宋_GB2312" w:cs="宋体"/>
          <w:kern w:val="0"/>
          <w:sz w:val="32"/>
          <w:szCs w:val="32"/>
          <w:lang w:val="en-US" w:eastAsia="zh-CN"/>
        </w:rPr>
        <w:t>4</w:t>
      </w:r>
      <w:r>
        <w:rPr>
          <w:rFonts w:hint="eastAsia" w:ascii="仿宋_GB2312" w:hAnsi="华文中宋" w:eastAsia="仿宋_GB2312"/>
          <w:sz w:val="32"/>
          <w:szCs w:val="32"/>
        </w:rPr>
        <w:t>条。</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三、依申请公开情况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按照《条例》第13条规定，</w:t>
      </w:r>
      <w:r>
        <w:rPr>
          <w:rFonts w:hint="eastAsia" w:ascii="仿宋_GB2312" w:hAnsi="华文中宋" w:eastAsia="仿宋_GB2312"/>
          <w:sz w:val="32"/>
          <w:szCs w:val="32"/>
        </w:rPr>
        <w:t>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rPr>
        <w:t>自《条例》实施之日起正式受理</w:t>
      </w:r>
      <w:r>
        <w:rPr>
          <w:rFonts w:hint="eastAsia" w:ascii="仿宋_GB2312" w:hAnsi="华文中宋" w:eastAsia="仿宋_GB2312"/>
          <w:sz w:val="32"/>
          <w:szCs w:val="32"/>
        </w:rPr>
        <w:t>公民、法人或者其他组织根据自身生产、生活、科研等特殊需要提出的政府信息公开申请。为落实《条例》确定的政府信息依申请公开制度，本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rPr>
        <w:t>继续完善政府信息公开申请受理场所，并公布政府信息公开受理机构的联系方式。</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（一）申请情况</w:t>
      </w:r>
    </w:p>
    <w:p>
      <w:pPr>
        <w:widowControl/>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华文中宋" w:eastAsia="仿宋_GB2312"/>
          <w:sz w:val="32"/>
          <w:szCs w:val="32"/>
        </w:rPr>
        <w:t>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lang w:eastAsia="zh-CN"/>
        </w:rPr>
        <w:t>2008</w:t>
      </w:r>
      <w:r>
        <w:rPr>
          <w:rFonts w:hint="eastAsia" w:ascii="仿宋_GB2312" w:hAnsi="宋体" w:eastAsia="仿宋_GB2312" w:cs="宋体"/>
          <w:kern w:val="0"/>
          <w:sz w:val="32"/>
          <w:szCs w:val="32"/>
        </w:rPr>
        <w:t>年度共收到各类政府信息公开申请</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件，同上年相比，</w:t>
      </w:r>
      <w:r>
        <w:rPr>
          <w:rFonts w:hint="eastAsia" w:ascii="仿宋_GB2312" w:hAnsi="宋体" w:eastAsia="仿宋_GB2312" w:cs="宋体"/>
          <w:kern w:val="0"/>
          <w:sz w:val="32"/>
          <w:szCs w:val="32"/>
          <w:lang w:eastAsia="zh-CN"/>
        </w:rPr>
        <w:t>增加</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件。其中，当面申请</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50</w:t>
      </w:r>
      <w:r>
        <w:rPr>
          <w:rFonts w:hint="eastAsia" w:ascii="仿宋_GB2312" w:hAnsi="宋体" w:eastAsia="仿宋_GB2312" w:cs="宋体"/>
          <w:kern w:val="0"/>
          <w:sz w:val="32"/>
          <w:szCs w:val="32"/>
        </w:rPr>
        <w:t>%，同上年相比</w:t>
      </w:r>
      <w:r>
        <w:rPr>
          <w:rFonts w:hint="eastAsia" w:ascii="仿宋_GB2312" w:hAnsi="宋体" w:eastAsia="仿宋_GB2312" w:cs="宋体"/>
          <w:kern w:val="0"/>
          <w:sz w:val="32"/>
          <w:szCs w:val="32"/>
          <w:lang w:eastAsia="zh-CN"/>
        </w:rPr>
        <w:t>，增加</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件；以信函形式申请</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件</w:t>
      </w:r>
      <w:r>
        <w:rPr>
          <w:rFonts w:hint="eastAsia" w:ascii="仿宋_GB2312" w:hAnsi="宋体" w:eastAsia="仿宋_GB2312" w:cs="宋体"/>
          <w:kern w:val="0"/>
          <w:sz w:val="32"/>
          <w:szCs w:val="32"/>
          <w:lang w:val="en-US" w:eastAsia="zh-CN"/>
        </w:rPr>
        <w:t>。</w:t>
      </w:r>
    </w:p>
    <w:p>
      <w:pPr>
        <w:widowControl/>
        <w:spacing w:line="560" w:lineRule="exact"/>
        <w:ind w:firstLine="640" w:firstLineChars="200"/>
        <w:rPr>
          <w:rFonts w:hint="eastAsia" w:ascii="仿宋_GB2312" w:hAnsi="宋体" w:eastAsia="仿宋_GB2312"/>
          <w:i/>
          <w:color w:val="0000FF"/>
          <w:sz w:val="32"/>
          <w:szCs w:val="32"/>
        </w:rPr>
      </w:pPr>
      <w:r>
        <w:rPr>
          <w:rFonts w:hint="eastAsia" w:ascii="仿宋_GB2312" w:hAnsi="宋体" w:eastAsia="仿宋_GB2312" w:cs="宋体"/>
          <w:kern w:val="0"/>
          <w:sz w:val="32"/>
          <w:szCs w:val="32"/>
        </w:rPr>
        <w:t>从申请的信息内容来看，</w:t>
      </w:r>
      <w:r>
        <w:rPr>
          <w:rFonts w:ascii="仿宋_GB2312" w:hAnsi="宋体" w:eastAsia="仿宋_GB2312" w:cs="宋体"/>
          <w:kern w:val="0"/>
          <w:sz w:val="32"/>
          <w:szCs w:val="32"/>
        </w:rPr>
        <w:t>申请</w:t>
      </w:r>
      <w:r>
        <w:rPr>
          <w:rFonts w:hint="eastAsia" w:ascii="仿宋_GB2312" w:hAnsi="宋体" w:eastAsia="仿宋_GB2312" w:cs="宋体"/>
          <w:kern w:val="0"/>
          <w:sz w:val="32"/>
          <w:szCs w:val="32"/>
        </w:rPr>
        <w:t>行政职责类信息</w:t>
      </w:r>
      <w:r>
        <w:rPr>
          <w:rFonts w:ascii="仿宋_GB2312" w:hAnsi="宋体" w:eastAsia="仿宋_GB2312" w:cs="宋体"/>
          <w:kern w:val="0"/>
          <w:sz w:val="32"/>
          <w:szCs w:val="32"/>
        </w:rPr>
        <w:t>占</w:t>
      </w:r>
      <w:r>
        <w:rPr>
          <w:rFonts w:hint="eastAsia" w:ascii="仿宋_GB2312" w:hAnsi="宋体" w:eastAsia="仿宋_GB2312" w:cs="宋体"/>
          <w:kern w:val="0"/>
          <w:sz w:val="32"/>
          <w:szCs w:val="32"/>
          <w:lang w:val="en-US" w:eastAsia="zh-CN"/>
        </w:rPr>
        <w:t>100</w:t>
      </w:r>
      <w:r>
        <w:rPr>
          <w:rFonts w:ascii="仿宋_GB2312" w:hAnsi="宋体" w:eastAsia="仿宋_GB2312" w:cs="宋体"/>
          <w:kern w:val="0"/>
          <w:sz w:val="32"/>
          <w:szCs w:val="32"/>
        </w:rPr>
        <w:t>%</w:t>
      </w:r>
      <w:r>
        <w:rPr>
          <w:rFonts w:hint="eastAsia" w:ascii="仿宋_GB2312" w:hAnsi="宋体" w:eastAsia="仿宋_GB2312" w:cs="宋体"/>
          <w:kern w:val="0"/>
          <w:sz w:val="32"/>
          <w:szCs w:val="32"/>
        </w:rPr>
        <w:t>。</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（二）答复情况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已到答复期的</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件申请全部按期答复，其中：</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“同意公开”的</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100</w:t>
      </w:r>
      <w:r>
        <w:rPr>
          <w:rFonts w:hint="eastAsia" w:ascii="仿宋_GB2312" w:hAnsi="宋体" w:eastAsia="仿宋_GB2312" w:cs="宋体"/>
          <w:kern w:val="0"/>
          <w:sz w:val="32"/>
          <w:szCs w:val="32"/>
        </w:rPr>
        <w:t>%。</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“信息不存在”的</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“非本机关掌握”的</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四、复议和诉讼情况</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按照《条例》第33条规定，公民、法人或者其他组织认为行政机关在政府信息公开工作中的具体行政行为侵犯其合法权益的，可以依法申请行政复议或者提起行政诉讼。</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2008</w:t>
      </w:r>
      <w:r>
        <w:rPr>
          <w:rFonts w:hint="eastAsia" w:ascii="仿宋_GB2312" w:hAnsi="宋体" w:eastAsia="仿宋_GB2312" w:cs="宋体"/>
          <w:kern w:val="0"/>
          <w:sz w:val="32"/>
          <w:szCs w:val="32"/>
        </w:rPr>
        <w:t>年，本委无政府信息公开工作中的行政复议或行政诉讼情况</w:t>
      </w:r>
      <w:r>
        <w:rPr>
          <w:rFonts w:hint="eastAsia" w:ascii="仿宋_GB2312" w:hAnsi="宋体" w:eastAsia="仿宋_GB2312" w:cs="宋体"/>
          <w:kern w:val="0"/>
          <w:sz w:val="32"/>
          <w:szCs w:val="32"/>
          <w:lang w:eastAsia="zh-CN"/>
        </w:rPr>
        <w:t>。</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五、存在的不足及改进措施</w:t>
      </w:r>
    </w:p>
    <w:p>
      <w:pPr>
        <w:spacing w:line="560" w:lineRule="exact"/>
        <w:ind w:firstLine="640" w:firstLineChars="200"/>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（一）存在的不足</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1.公开信息的及时性不够，存在信息更新迟缓的问题；</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2.依申请公开政府信息的程序不够规范，存在过程不够严格，答复不规范，沟通不及时等问题。</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（二）改进措施</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1.进一步规范本委政府信息公开工作流程，完善相关工作制度；</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2.加强信息公开工作培训，特别是专职工作人员业务培训，不断提高业务素质。</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3.完善网站设置，为公众提供一站式查询，提高工作效率和服务水平。</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hint="eastAsia" w:ascii="仿宋_GB2312" w:hAnsi="仿宋" w:eastAsia="仿宋_GB2312"/>
          <w:sz w:val="32"/>
          <w:szCs w:val="32"/>
        </w:rPr>
      </w:pPr>
    </w:p>
    <w:p>
      <w:pPr>
        <w:widowControl/>
        <w:spacing w:line="56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北京市大兴区</w:t>
      </w:r>
      <w:r>
        <w:rPr>
          <w:rFonts w:hint="eastAsia" w:ascii="仿宋_GB2312" w:hAnsi="宋体" w:eastAsia="仿宋_GB2312" w:cs="宋体"/>
          <w:kern w:val="0"/>
          <w:sz w:val="32"/>
          <w:szCs w:val="32"/>
          <w:lang w:eastAsia="zh-CN"/>
        </w:rPr>
        <w:t>发展和改革委员会</w:t>
      </w:r>
    </w:p>
    <w:p>
      <w:pPr>
        <w:widowControl/>
        <w:spacing w:line="560" w:lineRule="exact"/>
        <w:ind w:right="800"/>
        <w:jc w:val="both"/>
        <w:rPr>
          <w:rFonts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二</w:t>
      </w:r>
      <w:r>
        <w:rPr>
          <w:rFonts w:hint="eastAsia" w:ascii="宋体" w:hAnsi="宋体" w:cs="宋体"/>
          <w:kern w:val="0"/>
          <w:sz w:val="32"/>
          <w:szCs w:val="32"/>
        </w:rPr>
        <w:t>〇〇</w:t>
      </w:r>
      <w:r>
        <w:rPr>
          <w:rFonts w:hint="eastAsia" w:ascii="宋体" w:hAnsi="宋体" w:cs="宋体"/>
          <w:kern w:val="0"/>
          <w:sz w:val="32"/>
          <w:szCs w:val="32"/>
          <w:lang w:eastAsia="zh-CN"/>
        </w:rPr>
        <w:t>九</w:t>
      </w:r>
      <w:r>
        <w:rPr>
          <w:rFonts w:hint="eastAsia" w:ascii="仿宋_GB2312" w:hAnsi="仿宋_GB2312" w:eastAsia="仿宋_GB2312" w:cs="仿宋_GB2312"/>
          <w:kern w:val="0"/>
          <w:sz w:val="32"/>
          <w:szCs w:val="32"/>
        </w:rPr>
        <w:t>年</w:t>
      </w:r>
      <w:r>
        <w:rPr>
          <w:rFonts w:hint="eastAsia" w:ascii="仿宋_GB2312" w:hAnsi="宋体" w:eastAsia="仿宋_GB2312" w:cs="宋体"/>
          <w:kern w:val="0"/>
          <w:sz w:val="32"/>
          <w:szCs w:val="32"/>
        </w:rPr>
        <w:t>三月</w:t>
      </w:r>
    </w:p>
    <w:p>
      <w:pPr>
        <w:spacing w:line="560" w:lineRule="exact"/>
        <w:ind w:firstLine="640" w:firstLineChars="200"/>
        <w:rPr>
          <w:rFonts w:hint="eastAsia" w:ascii="黑体" w:hAnsi="仿宋_GB2312" w:eastAsia="黑体"/>
          <w:color w:val="000000"/>
          <w:sz w:val="32"/>
          <w:szCs w:val="32"/>
        </w:rPr>
      </w:pPr>
      <w:r>
        <w:rPr>
          <w:rFonts w:ascii="仿宋_GB2312" w:hAnsi="宋体" w:eastAsia="仿宋_GB2312" w:cs="宋体"/>
          <w:kern w:val="0"/>
          <w:sz w:val="32"/>
          <w:szCs w:val="32"/>
        </w:rPr>
        <w:br w:type="page"/>
      </w:r>
      <w:r>
        <w:rPr>
          <w:rFonts w:hint="eastAsia" w:ascii="黑体" w:eastAsia="黑体" w:cs="仿宋_GB2312"/>
          <w:sz w:val="32"/>
          <w:szCs w:val="32"/>
        </w:rPr>
        <w:t>附表：</w:t>
      </w:r>
    </w:p>
    <w:tbl>
      <w:tblPr>
        <w:tblStyle w:val="10"/>
        <w:tblW w:w="9555" w:type="dxa"/>
        <w:jc w:val="center"/>
        <w:tblInd w:w="0" w:type="dxa"/>
        <w:tblLayout w:type="fixed"/>
        <w:tblCellMar>
          <w:top w:w="0" w:type="dxa"/>
          <w:left w:w="108" w:type="dxa"/>
          <w:bottom w:w="0" w:type="dxa"/>
          <w:right w:w="108" w:type="dxa"/>
        </w:tblCellMar>
      </w:tblPr>
      <w:tblGrid>
        <w:gridCol w:w="7755"/>
        <w:gridCol w:w="720"/>
        <w:gridCol w:w="1080"/>
      </w:tblGrid>
      <w:tr>
        <w:tblPrEx>
          <w:tblLayout w:type="fixed"/>
          <w:tblCellMar>
            <w:top w:w="0" w:type="dxa"/>
            <w:left w:w="108" w:type="dxa"/>
            <w:bottom w:w="0" w:type="dxa"/>
            <w:right w:w="108" w:type="dxa"/>
          </w:tblCellMar>
        </w:tblPrEx>
        <w:trPr>
          <w:trHeight w:val="540"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政府信息公开情况统计表</w:t>
            </w:r>
          </w:p>
        </w:tc>
      </w:tr>
      <w:tr>
        <w:tblPrEx>
          <w:tblLayout w:type="fixed"/>
          <w:tblCellMar>
            <w:top w:w="0" w:type="dxa"/>
            <w:left w:w="108" w:type="dxa"/>
            <w:bottom w:w="0" w:type="dxa"/>
            <w:right w:w="108" w:type="dxa"/>
          </w:tblCellMar>
        </w:tblPrEx>
        <w:trPr>
          <w:trHeight w:val="285"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楷体_GB2312" w:hAnsi="宋体" w:eastAsia="楷体_GB2312" w:cs="宋体"/>
                <w:kern w:val="0"/>
                <w:sz w:val="32"/>
                <w:szCs w:val="32"/>
              </w:rPr>
            </w:pPr>
            <w:r>
              <w:rPr>
                <w:rFonts w:hint="eastAsia" w:ascii="楷体_GB2312" w:hAnsi="宋体" w:eastAsia="楷体_GB2312" w:cs="宋体"/>
                <w:kern w:val="0"/>
                <w:sz w:val="32"/>
                <w:szCs w:val="32"/>
              </w:rPr>
              <w:t>（</w:t>
            </w:r>
            <w:r>
              <w:rPr>
                <w:rFonts w:hint="eastAsia" w:ascii="楷体_GB2312" w:hAnsi="宋体" w:eastAsia="楷体_GB2312" w:cs="宋体"/>
                <w:kern w:val="0"/>
                <w:sz w:val="32"/>
                <w:szCs w:val="32"/>
                <w:lang w:eastAsia="zh-CN"/>
              </w:rPr>
              <w:t>2008</w:t>
            </w:r>
            <w:r>
              <w:rPr>
                <w:rFonts w:hint="eastAsia" w:ascii="楷体_GB2312" w:hAnsi="宋体" w:eastAsia="楷体_GB2312" w:cs="宋体"/>
                <w:kern w:val="0"/>
                <w:sz w:val="32"/>
                <w:szCs w:val="32"/>
              </w:rPr>
              <w:t>年度）</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 计 指 标</w:t>
            </w:r>
          </w:p>
        </w:tc>
        <w:tc>
          <w:tcPr>
            <w:tcW w:w="72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单位</w:t>
            </w:r>
          </w:p>
        </w:tc>
        <w:tc>
          <w:tcPr>
            <w:tcW w:w="108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统计数</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一、主动公开情况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（一）主动公开政府信息数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widowControl/>
              <w:jc w:val="center"/>
              <w:rPr>
                <w:rFonts w:hint="eastAsia" w:eastAsia="宋体"/>
                <w:color w:val="000000"/>
                <w:kern w:val="0"/>
                <w:sz w:val="22"/>
                <w:szCs w:val="22"/>
                <w:lang w:val="en-US" w:eastAsia="zh-CN"/>
              </w:rPr>
            </w:pPr>
            <w:r>
              <w:rPr>
                <w:rFonts w:hint="eastAsia"/>
                <w:color w:val="000000"/>
                <w:kern w:val="0"/>
                <w:sz w:val="22"/>
                <w:szCs w:val="22"/>
                <w:lang w:val="en-US" w:eastAsia="zh-CN"/>
              </w:rPr>
              <w:t>40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其中：主动公开规范性文件数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38</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nil"/>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制发规范性文件总数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（二）重点领域公开政府信息数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13</w:t>
            </w:r>
          </w:p>
        </w:tc>
      </w:tr>
      <w:tr>
        <w:tblPrEx>
          <w:tblLayout w:type="fixed"/>
          <w:tblCellMar>
            <w:top w:w="0" w:type="dxa"/>
            <w:left w:w="108" w:type="dxa"/>
            <w:bottom w:w="0" w:type="dxa"/>
            <w:right w:w="108" w:type="dxa"/>
          </w:tblCellMar>
        </w:tblPrEx>
        <w:trPr>
          <w:trHeight w:val="60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rPr>
                <w:rFonts w:ascii="仿宋_GB2312" w:hAnsi="宋体" w:eastAsia="仿宋_GB2312" w:cs="宋体"/>
                <w:kern w:val="0"/>
                <w:sz w:val="24"/>
              </w:rPr>
            </w:pPr>
            <w:r>
              <w:rPr>
                <w:rFonts w:hint="eastAsia" w:ascii="仿宋_GB2312" w:hAnsi="宋体" w:eastAsia="仿宋_GB2312" w:cs="宋体"/>
                <w:kern w:val="0"/>
                <w:sz w:val="24"/>
              </w:rPr>
              <w:t xml:space="preserve">        其中：主动公开财政预算决算、“三公经费”和行政经费信息数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64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主动公开保障性安居工程建设计划、项目开工和竣工情况，保障性住房的分配和退出等信息数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7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主动公开食品安全标准，食品生产经营许可、专项检查整治等信息数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主动公开环境核查审批、环境状况公报和重特大突发环境事件等信息数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78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主动公开招投标违法违规行为及处理情况、国有资金占控股或者主导地位依法应当招标的项目等信息数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5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主动公开生产安全事故的政府举措、处置进展、风险预警、防范措施等信息数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9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主动公开农用地转为建设用地批准、征收集体土地批准、征地公告、征地补偿安置公示、集体土地征收结案等信息数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72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主动公开政府指导价、政府定价和收费标准调整的项目、价格、依据、执行时间和范围等信息数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6</w:t>
            </w:r>
          </w:p>
        </w:tc>
      </w:tr>
      <w:tr>
        <w:tblPrEx>
          <w:tblLayout w:type="fixed"/>
          <w:tblCellMar>
            <w:top w:w="0" w:type="dxa"/>
            <w:left w:w="108" w:type="dxa"/>
            <w:bottom w:w="0" w:type="dxa"/>
            <w:right w:w="108" w:type="dxa"/>
          </w:tblCellMar>
        </w:tblPrEx>
        <w:trPr>
          <w:trHeight w:val="52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主动公开本市企业信用信息系统中的警示信息和良好信息等信息数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主动公开政府部门预算执行审计结果等信息数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7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主动公开行政机关对与人民群众利益密切相关的公共企事业单位进行监督管理的信息数</w:t>
            </w:r>
          </w:p>
        </w:tc>
        <w:tc>
          <w:tcPr>
            <w:tcW w:w="720" w:type="dxa"/>
            <w:tcBorders>
              <w:top w:val="nil"/>
              <w:left w:val="single" w:color="auto" w:sz="4" w:space="0"/>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8"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主动公开市人民政府决定主动公开的其他信息数</w:t>
            </w:r>
          </w:p>
        </w:tc>
        <w:tc>
          <w:tcPr>
            <w:tcW w:w="720" w:type="dxa"/>
            <w:tcBorders>
              <w:top w:val="single" w:color="auto" w:sz="8" w:space="0"/>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10</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（三）通过不同渠道和方式公开政府信息的情况</w:t>
            </w:r>
          </w:p>
        </w:tc>
        <w:tc>
          <w:tcPr>
            <w:tcW w:w="720" w:type="dxa"/>
            <w:tcBorders>
              <w:top w:val="single" w:color="auto" w:sz="8" w:space="0"/>
              <w:left w:val="nil"/>
              <w:bottom w:val="single" w:color="auto" w:sz="4" w:space="0"/>
              <w:right w:val="single" w:color="auto" w:sz="4" w:space="0"/>
              <w:tr2bl w:val="single" w:color="auto" w:sz="4" w:space="0"/>
            </w:tcBorders>
            <w:shd w:val="clear" w:color="auto" w:fill="auto"/>
            <w:vAlign w:val="center"/>
          </w:tcPr>
          <w:p>
            <w:pPr>
              <w:widowControl/>
              <w:jc w:val="center"/>
              <w:rPr>
                <w:rFonts w:ascii="仿宋_GB2312" w:hAnsi="宋体" w:eastAsia="仿宋_GB2312" w:cs="宋体"/>
                <w:kern w:val="0"/>
                <w:sz w:val="24"/>
              </w:rPr>
            </w:pPr>
          </w:p>
        </w:tc>
        <w:tc>
          <w:tcPr>
            <w:tcW w:w="1080" w:type="dxa"/>
            <w:tcBorders>
              <w:top w:val="single" w:color="auto" w:sz="8" w:space="0"/>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1.政府公报公开政府信息数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40</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3.政务微博公开政府信息数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4.政务微信公开政府信息数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二、回应解读情况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（一）回应公众关注热点或重大舆情数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（不同方式回应同一热点或舆情计1次）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（二）通过不同渠道和方式回应解读的情况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1.参加或举办新闻发布会总次数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其中：主要负责同志参加新闻发布会次数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2.政府网站在线访谈次数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其中：主要负责同志参加政府网站在线访谈次数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3.政策解读稿件发布数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篇</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4.微博微信回应事件数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5.其他方式回应事件数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三、依申请公开情况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（一）收到申请数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widowControl/>
              <w:jc w:val="center"/>
              <w:rPr>
                <w:rFonts w:hint="eastAsia" w:eastAsia="宋体"/>
                <w:color w:val="000000"/>
                <w:kern w:val="0"/>
                <w:sz w:val="22"/>
                <w:szCs w:val="22"/>
                <w:lang w:val="en-US" w:eastAsia="zh-CN"/>
              </w:rPr>
            </w:pPr>
            <w:r>
              <w:rPr>
                <w:rFonts w:hint="eastAsia"/>
                <w:color w:val="000000"/>
                <w:kern w:val="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1.当面申请数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2.传真申请数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3.网络申请数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4.信函申请数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（二）申请办结数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1.按时办结数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2.延期办结数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（三）申请答复数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1.属于已主动公开范围数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2.同意公开答复数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3.同意部分公开答复数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4.不同意公开答复数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其中：涉及国家秘密</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涉及商业秘密</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涉及个人隐私</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ind w:left="2400" w:hanging="2400" w:hangingChars="1000"/>
              <w:jc w:val="left"/>
              <w:rPr>
                <w:rFonts w:ascii="仿宋_GB2312" w:hAnsi="宋体" w:eastAsia="仿宋_GB2312" w:cs="宋体"/>
                <w:kern w:val="0"/>
                <w:sz w:val="24"/>
              </w:rPr>
            </w:pPr>
            <w:r>
              <w:rPr>
                <w:rFonts w:hint="eastAsia" w:ascii="仿宋_GB2312" w:hAnsi="宋体" w:eastAsia="仿宋_GB2312" w:cs="宋体"/>
                <w:kern w:val="0"/>
                <w:sz w:val="24"/>
              </w:rPr>
              <w:t>　　　　　　　　　　危及国家安全、公共安全、经济安全和社会稳定</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不是《条例》所指政府信息</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法律法规规定的其他情形</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5.不属于本行政机关公开数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0</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6.申请信息不存在数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0</w:t>
            </w:r>
            <w:bookmarkStart w:id="0" w:name="_GoBack"/>
            <w:bookmarkEnd w:id="0"/>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7.告知作出更改补充数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8.告知通过其他途径办理数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四、行政复议数量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五、行政诉讼数量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（一）维持具体行政行为或者驳回原告诉讼请求数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六、举报投诉数量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七、依申请公开信息收取的费用</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万元</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八、机构建设和保障经费情况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（一）政府信息公开工作专门机构数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（二）设置政府信息公开查阅点数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（三）从事政府信息公开工作人员数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1.专职人员数（不包括政府公报及政府网站工作人员数）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2.兼职人员数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ind w:left="960" w:hanging="960" w:hangingChars="400"/>
              <w:jc w:val="left"/>
              <w:rPr>
                <w:rFonts w:ascii="仿宋_GB2312" w:hAnsi="宋体" w:eastAsia="仿宋_GB2312" w:cs="宋体"/>
                <w:kern w:val="0"/>
                <w:sz w:val="24"/>
              </w:rPr>
            </w:pPr>
            <w:r>
              <w:rPr>
                <w:rFonts w:hint="eastAsia" w:ascii="仿宋_GB2312" w:hAnsi="宋体" w:eastAsia="仿宋_GB2312" w:cs="宋体"/>
                <w:kern w:val="0"/>
                <w:sz w:val="24"/>
              </w:rPr>
              <w:t xml:space="preserve">  （四）政府信息公开专项经费（不包括用于政府公报编辑管理及政府网站建设维护等方面的经费）</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万元</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九、政府信息公开会议和培训情况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（一）召开政府信息公开工作会议或专题会议数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（二）举办各类培训班数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（三）接受培训人员数</w:t>
            </w:r>
          </w:p>
        </w:tc>
        <w:tc>
          <w:tcPr>
            <w:tcW w:w="720"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人次</w:t>
            </w:r>
          </w:p>
        </w:tc>
        <w:tc>
          <w:tcPr>
            <w:tcW w:w="1080" w:type="dxa"/>
            <w:tcBorders>
              <w:top w:val="nil"/>
              <w:left w:val="nil"/>
              <w:bottom w:val="single" w:color="auto" w:sz="8"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21</w:t>
            </w:r>
          </w:p>
        </w:tc>
      </w:tr>
    </w:tbl>
    <w:p>
      <w:pPr>
        <w:widowControl/>
        <w:spacing w:line="560" w:lineRule="exact"/>
        <w:ind w:left="4469" w:leftChars="2128" w:right="480"/>
        <w:jc w:val="right"/>
        <w:rPr>
          <w:rFonts w:ascii="仿宋_GB2312" w:hAnsi="宋体" w:eastAsia="仿宋_GB2312" w:cs="宋体"/>
          <w:kern w:val="0"/>
          <w:sz w:val="32"/>
          <w:szCs w:val="32"/>
        </w:rPr>
      </w:pPr>
    </w:p>
    <w:sectPr>
      <w:footerReference r:id="rId3" w:type="default"/>
      <w:footerReference r:id="rId4" w:type="even"/>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汉仪大宋简">
    <w:altName w:val="Arial"/>
    <w:panose1 w:val="00000000000000000000"/>
    <w:charset w:val="00"/>
    <w:family w:val="swiss"/>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9</w:t>
    </w:r>
    <w:r>
      <w:rPr>
        <w:rStyle w:val="9"/>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4FE"/>
    <w:rsid w:val="00011299"/>
    <w:rsid w:val="0001550B"/>
    <w:rsid w:val="00024A33"/>
    <w:rsid w:val="00030ED2"/>
    <w:rsid w:val="000477DD"/>
    <w:rsid w:val="00061A8B"/>
    <w:rsid w:val="0006724E"/>
    <w:rsid w:val="0008546D"/>
    <w:rsid w:val="00091B5A"/>
    <w:rsid w:val="00095C94"/>
    <w:rsid w:val="000C3E2E"/>
    <w:rsid w:val="000D7F41"/>
    <w:rsid w:val="000E18D5"/>
    <w:rsid w:val="000F5455"/>
    <w:rsid w:val="000F57C6"/>
    <w:rsid w:val="00135812"/>
    <w:rsid w:val="00136479"/>
    <w:rsid w:val="001649F9"/>
    <w:rsid w:val="00165D78"/>
    <w:rsid w:val="001770DC"/>
    <w:rsid w:val="00191E43"/>
    <w:rsid w:val="001969C7"/>
    <w:rsid w:val="001A132F"/>
    <w:rsid w:val="001A438D"/>
    <w:rsid w:val="001C335D"/>
    <w:rsid w:val="001E0EDB"/>
    <w:rsid w:val="001F1E77"/>
    <w:rsid w:val="0020438B"/>
    <w:rsid w:val="002050C9"/>
    <w:rsid w:val="00215A1F"/>
    <w:rsid w:val="00220270"/>
    <w:rsid w:val="00234422"/>
    <w:rsid w:val="00263CF6"/>
    <w:rsid w:val="0026751C"/>
    <w:rsid w:val="00267D9B"/>
    <w:rsid w:val="00276839"/>
    <w:rsid w:val="00282A54"/>
    <w:rsid w:val="002A61EF"/>
    <w:rsid w:val="002B3EA2"/>
    <w:rsid w:val="002C6CC3"/>
    <w:rsid w:val="002D25F5"/>
    <w:rsid w:val="002E4D22"/>
    <w:rsid w:val="002F450B"/>
    <w:rsid w:val="00303BA7"/>
    <w:rsid w:val="00312FA6"/>
    <w:rsid w:val="00315E66"/>
    <w:rsid w:val="0032036E"/>
    <w:rsid w:val="00323318"/>
    <w:rsid w:val="0033311E"/>
    <w:rsid w:val="00350B99"/>
    <w:rsid w:val="00364095"/>
    <w:rsid w:val="00373CA6"/>
    <w:rsid w:val="00385552"/>
    <w:rsid w:val="00386739"/>
    <w:rsid w:val="00391E8B"/>
    <w:rsid w:val="00393804"/>
    <w:rsid w:val="003A2DE8"/>
    <w:rsid w:val="003C2EA7"/>
    <w:rsid w:val="003C3529"/>
    <w:rsid w:val="003C4B6C"/>
    <w:rsid w:val="003D407B"/>
    <w:rsid w:val="003F0526"/>
    <w:rsid w:val="003F386C"/>
    <w:rsid w:val="0040195E"/>
    <w:rsid w:val="00404D78"/>
    <w:rsid w:val="00430A10"/>
    <w:rsid w:val="0043690A"/>
    <w:rsid w:val="00442F1C"/>
    <w:rsid w:val="00444749"/>
    <w:rsid w:val="00455D1F"/>
    <w:rsid w:val="00464DE1"/>
    <w:rsid w:val="00475F51"/>
    <w:rsid w:val="00480EBD"/>
    <w:rsid w:val="004835AE"/>
    <w:rsid w:val="00487674"/>
    <w:rsid w:val="00493506"/>
    <w:rsid w:val="0049714A"/>
    <w:rsid w:val="004B1F88"/>
    <w:rsid w:val="004E0C30"/>
    <w:rsid w:val="004E3F3D"/>
    <w:rsid w:val="004E7A7F"/>
    <w:rsid w:val="00500F43"/>
    <w:rsid w:val="005038B7"/>
    <w:rsid w:val="005051AA"/>
    <w:rsid w:val="00511D6A"/>
    <w:rsid w:val="00552C13"/>
    <w:rsid w:val="00552E76"/>
    <w:rsid w:val="00561B6A"/>
    <w:rsid w:val="00566A85"/>
    <w:rsid w:val="0057505F"/>
    <w:rsid w:val="00576AA8"/>
    <w:rsid w:val="00590400"/>
    <w:rsid w:val="005933D4"/>
    <w:rsid w:val="005A43F9"/>
    <w:rsid w:val="005A5BA1"/>
    <w:rsid w:val="005B59E2"/>
    <w:rsid w:val="005C4FC2"/>
    <w:rsid w:val="005C5EB9"/>
    <w:rsid w:val="005D35EC"/>
    <w:rsid w:val="005D38A7"/>
    <w:rsid w:val="005D454A"/>
    <w:rsid w:val="005D70D9"/>
    <w:rsid w:val="005E06C3"/>
    <w:rsid w:val="005E137E"/>
    <w:rsid w:val="005E3B9B"/>
    <w:rsid w:val="005F42E9"/>
    <w:rsid w:val="0062038E"/>
    <w:rsid w:val="006456F4"/>
    <w:rsid w:val="00673972"/>
    <w:rsid w:val="006800C1"/>
    <w:rsid w:val="006806E4"/>
    <w:rsid w:val="0068740C"/>
    <w:rsid w:val="006B2C55"/>
    <w:rsid w:val="006D3C9C"/>
    <w:rsid w:val="00704AAF"/>
    <w:rsid w:val="00716195"/>
    <w:rsid w:val="007300BC"/>
    <w:rsid w:val="007318B4"/>
    <w:rsid w:val="00732FB8"/>
    <w:rsid w:val="00733332"/>
    <w:rsid w:val="0073390C"/>
    <w:rsid w:val="007440C9"/>
    <w:rsid w:val="00747B06"/>
    <w:rsid w:val="00750D2A"/>
    <w:rsid w:val="00754E59"/>
    <w:rsid w:val="00770AD8"/>
    <w:rsid w:val="0077218A"/>
    <w:rsid w:val="007746CC"/>
    <w:rsid w:val="007939C3"/>
    <w:rsid w:val="007A1833"/>
    <w:rsid w:val="007C71C1"/>
    <w:rsid w:val="007F2536"/>
    <w:rsid w:val="00800AA7"/>
    <w:rsid w:val="00802EFC"/>
    <w:rsid w:val="00804A0A"/>
    <w:rsid w:val="00807928"/>
    <w:rsid w:val="008238B3"/>
    <w:rsid w:val="00824136"/>
    <w:rsid w:val="00830104"/>
    <w:rsid w:val="00845ADF"/>
    <w:rsid w:val="00846086"/>
    <w:rsid w:val="00860E3E"/>
    <w:rsid w:val="00874774"/>
    <w:rsid w:val="00875C8E"/>
    <w:rsid w:val="00896F27"/>
    <w:rsid w:val="008A2B14"/>
    <w:rsid w:val="008A3AC4"/>
    <w:rsid w:val="008C1089"/>
    <w:rsid w:val="008C4AF7"/>
    <w:rsid w:val="008E15A5"/>
    <w:rsid w:val="008E196E"/>
    <w:rsid w:val="008E6450"/>
    <w:rsid w:val="00906445"/>
    <w:rsid w:val="00910CBB"/>
    <w:rsid w:val="0092083B"/>
    <w:rsid w:val="00922313"/>
    <w:rsid w:val="0092687B"/>
    <w:rsid w:val="009271F8"/>
    <w:rsid w:val="00931057"/>
    <w:rsid w:val="009367A0"/>
    <w:rsid w:val="0094334E"/>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3A68"/>
    <w:rsid w:val="00A61446"/>
    <w:rsid w:val="00A714B2"/>
    <w:rsid w:val="00A90797"/>
    <w:rsid w:val="00AD5E1D"/>
    <w:rsid w:val="00AD6B74"/>
    <w:rsid w:val="00AE73D2"/>
    <w:rsid w:val="00AF39B8"/>
    <w:rsid w:val="00AF7359"/>
    <w:rsid w:val="00B06294"/>
    <w:rsid w:val="00B128C1"/>
    <w:rsid w:val="00B13752"/>
    <w:rsid w:val="00B15089"/>
    <w:rsid w:val="00B72A12"/>
    <w:rsid w:val="00B92952"/>
    <w:rsid w:val="00BA1750"/>
    <w:rsid w:val="00BA778C"/>
    <w:rsid w:val="00BB329A"/>
    <w:rsid w:val="00BC3B1C"/>
    <w:rsid w:val="00BD0DF3"/>
    <w:rsid w:val="00BD4C14"/>
    <w:rsid w:val="00C008B5"/>
    <w:rsid w:val="00C127B0"/>
    <w:rsid w:val="00C1318D"/>
    <w:rsid w:val="00C2000A"/>
    <w:rsid w:val="00C21AD9"/>
    <w:rsid w:val="00C32DA8"/>
    <w:rsid w:val="00C33A95"/>
    <w:rsid w:val="00C66BED"/>
    <w:rsid w:val="00C70936"/>
    <w:rsid w:val="00C9001A"/>
    <w:rsid w:val="00C92922"/>
    <w:rsid w:val="00CC1169"/>
    <w:rsid w:val="00CC6F1F"/>
    <w:rsid w:val="00CD2247"/>
    <w:rsid w:val="00CD70A9"/>
    <w:rsid w:val="00CE7AA8"/>
    <w:rsid w:val="00CF1B2B"/>
    <w:rsid w:val="00D03C7D"/>
    <w:rsid w:val="00D14DEE"/>
    <w:rsid w:val="00D22E11"/>
    <w:rsid w:val="00D23DCC"/>
    <w:rsid w:val="00D35E05"/>
    <w:rsid w:val="00D52A19"/>
    <w:rsid w:val="00D61FDB"/>
    <w:rsid w:val="00D622F1"/>
    <w:rsid w:val="00D748D2"/>
    <w:rsid w:val="00D85444"/>
    <w:rsid w:val="00DA26B0"/>
    <w:rsid w:val="00DB6223"/>
    <w:rsid w:val="00DC3D8E"/>
    <w:rsid w:val="00DD0601"/>
    <w:rsid w:val="00DE49A7"/>
    <w:rsid w:val="00DE52B6"/>
    <w:rsid w:val="00DF0BD8"/>
    <w:rsid w:val="00DF4EBD"/>
    <w:rsid w:val="00E02AE0"/>
    <w:rsid w:val="00E034E9"/>
    <w:rsid w:val="00E112FE"/>
    <w:rsid w:val="00E128C4"/>
    <w:rsid w:val="00E20708"/>
    <w:rsid w:val="00E20935"/>
    <w:rsid w:val="00E219EF"/>
    <w:rsid w:val="00E32008"/>
    <w:rsid w:val="00E71476"/>
    <w:rsid w:val="00E74F2C"/>
    <w:rsid w:val="00E90178"/>
    <w:rsid w:val="00EA0880"/>
    <w:rsid w:val="00EA4E95"/>
    <w:rsid w:val="00EB1F9C"/>
    <w:rsid w:val="00ED2876"/>
    <w:rsid w:val="00ED2A5C"/>
    <w:rsid w:val="00ED3380"/>
    <w:rsid w:val="00EE462E"/>
    <w:rsid w:val="00EF142A"/>
    <w:rsid w:val="00EF398F"/>
    <w:rsid w:val="00EF3F47"/>
    <w:rsid w:val="00EF52CD"/>
    <w:rsid w:val="00F2797D"/>
    <w:rsid w:val="00F32436"/>
    <w:rsid w:val="00F32D9A"/>
    <w:rsid w:val="00F34CEC"/>
    <w:rsid w:val="00F401B1"/>
    <w:rsid w:val="00F438C0"/>
    <w:rsid w:val="00F60F29"/>
    <w:rsid w:val="00F95C81"/>
    <w:rsid w:val="00FB3A68"/>
    <w:rsid w:val="00FB481B"/>
    <w:rsid w:val="00FC27C7"/>
    <w:rsid w:val="00FE5955"/>
    <w:rsid w:val="00FE759B"/>
    <w:rsid w:val="00FF0E63"/>
    <w:rsid w:val="00FF34FE"/>
    <w:rsid w:val="044D3CC8"/>
    <w:rsid w:val="072B24EA"/>
    <w:rsid w:val="07500EBB"/>
    <w:rsid w:val="3F8A03DB"/>
    <w:rsid w:val="5BB52777"/>
    <w:rsid w:val="5E2E7F45"/>
    <w:rsid w:val="6B7D71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Body Text"/>
    <w:basedOn w:val="1"/>
    <w:qFormat/>
    <w:uiPriority w:val="0"/>
    <w:pPr>
      <w:suppressAutoHyphens/>
      <w:jc w:val="center"/>
    </w:pPr>
    <w:rPr>
      <w:rFonts w:ascii="方正小标宋简体" w:hAnsi="汉仪大宋简" w:eastAsia="方正小标宋简体"/>
      <w:color w:val="000000"/>
      <w:kern w:val="0"/>
      <w:sz w:val="44"/>
      <w:szCs w:val="20"/>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page number"/>
    <w:basedOn w:val="8"/>
    <w:qFormat/>
    <w:uiPriority w:val="0"/>
  </w:style>
  <w:style w:type="paragraph" w:customStyle="1" w:styleId="11">
    <w:name w:val="Char Char Char Char"/>
    <w:basedOn w:val="2"/>
    <w:qFormat/>
    <w:uiPriority w:val="0"/>
    <w:pPr>
      <w:adjustRightInd w:val="0"/>
      <w:spacing w:line="436" w:lineRule="exact"/>
      <w:ind w:left="357"/>
      <w:jc w:val="left"/>
      <w:outlineLvl w:val="3"/>
    </w:pPr>
    <w:rPr>
      <w:rFonts w:ascii="Tahoma" w:hAnsi="Tahoma"/>
      <w:b/>
      <w:sz w:val="24"/>
    </w:rPr>
  </w:style>
  <w:style w:type="paragraph" w:customStyle="1" w:styleId="12">
    <w:name w:val="Char Char Char1 Char Char Char Char"/>
    <w:basedOn w:val="2"/>
    <w:qFormat/>
    <w:uiPriority w:val="0"/>
    <w:pPr>
      <w:adjustRightInd w:val="0"/>
      <w:spacing w:line="436" w:lineRule="exact"/>
      <w:ind w:left="357"/>
      <w:jc w:val="left"/>
      <w:outlineLvl w:val="3"/>
    </w:pPr>
    <w:rPr>
      <w:rFonts w:ascii="Tahoma" w:hAnsi="Tahoma"/>
      <w:b/>
      <w:sz w:val="24"/>
    </w:rPr>
  </w:style>
  <w:style w:type="character" w:customStyle="1" w:styleId="13">
    <w:name w:val="页眉 Char"/>
    <w:link w:val="6"/>
    <w:qFormat/>
    <w:uiPriority w:val="0"/>
    <w:rPr>
      <w:kern w:val="2"/>
      <w:sz w:val="18"/>
      <w:szCs w:val="18"/>
    </w:rPr>
  </w:style>
  <w:style w:type="paragraph" w:customStyle="1" w:styleId="14">
    <w:name w:val="Char Char1 Char Char Char Char Char Char"/>
    <w:basedOn w:val="2"/>
    <w:qFormat/>
    <w:uiPriority w:val="0"/>
    <w:pPr>
      <w:adjustRightInd w:val="0"/>
      <w:spacing w:line="436" w:lineRule="exact"/>
      <w:ind w:left="357"/>
      <w:jc w:val="left"/>
      <w:outlineLvl w:val="3"/>
    </w:pPr>
    <w:rPr>
      <w:rFonts w:ascii="Tahoma" w:hAnsi="Tahoma"/>
      <w:b/>
      <w:sz w:val="24"/>
      <w:szCs w:val="32"/>
    </w:rPr>
  </w:style>
  <w:style w:type="paragraph" w:customStyle="1" w:styleId="15">
    <w:name w:val="Char Char"/>
    <w:basedOn w:val="2"/>
    <w:qFormat/>
    <w:uiPriority w:val="0"/>
    <w:rPr>
      <w:rFonts w:ascii="Tahoma" w:hAnsi="Tahoma"/>
      <w:sz w:val="24"/>
      <w:szCs w:val="20"/>
    </w:rPr>
  </w:style>
  <w:style w:type="paragraph" w:customStyle="1" w:styleId="16">
    <w:name w:val="Char Char Char Char Char Char Char Char Char Char Char Char"/>
    <w:basedOn w:val="2"/>
    <w:qFormat/>
    <w:uiPriority w:val="0"/>
    <w:pPr>
      <w:adjustRightInd w:val="0"/>
      <w:spacing w:line="436" w:lineRule="exact"/>
      <w:ind w:left="357"/>
      <w:jc w:val="left"/>
      <w:outlineLvl w:val="3"/>
    </w:pPr>
    <w:rPr>
      <w:rFonts w:ascii="Tahoma" w:hAnsi="Tahoma"/>
      <w:b/>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Company>
  <Pages>10</Pages>
  <Words>763</Words>
  <Characters>4355</Characters>
  <Lines>36</Lines>
  <Paragraphs>10</Paragraphs>
  <ScaleCrop>false</ScaleCrop>
  <LinksUpToDate>false</LinksUpToDate>
  <CharactersWithSpaces>5108</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2016-02-22T09:36:00Z</dcterms:created>
  <dc:creator>ss</dc:creator>
  <cp:lastModifiedBy>发改委公文</cp:lastModifiedBy>
  <cp:lastPrinted>2016-05-23T08:45:00Z</cp:lastPrinted>
  <dcterms:modified xsi:type="dcterms:W3CDTF">2019-11-26T08:00:01Z</dcterms:modified>
  <dc:title>北京市200×年××局政府信息公开</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