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3"/>
        <w:adjustRightInd w:val="0"/>
        <w:spacing w:before="312" w:beforeLines="100" w:after="312" w:afterLines="100" w:line="560" w:lineRule="exact"/>
        <w:rPr>
          <w:rFonts w:ascii="华文中宋" w:hAnsi="华文中宋" w:eastAsia="华文中宋"/>
          <w:b/>
          <w:color w:val="auto"/>
          <w:sz w:val="36"/>
          <w:szCs w:val="36"/>
        </w:rPr>
      </w:pPr>
    </w:p>
    <w:p>
      <w:pPr>
        <w:pStyle w:val="3"/>
        <w:adjustRightInd w:val="0"/>
        <w:spacing w:before="312" w:beforeLines="100" w:after="312" w:afterLines="100" w:line="560" w:lineRule="exact"/>
        <w:rPr>
          <w:rFonts w:ascii="华文中宋" w:hAnsi="华文中宋" w:eastAsia="华文中宋"/>
          <w:b/>
          <w:color w:val="auto"/>
          <w:sz w:val="36"/>
          <w:szCs w:val="36"/>
        </w:rPr>
      </w:pPr>
    </w:p>
    <w:p>
      <w:pPr>
        <w:pStyle w:val="3"/>
        <w:adjustRightInd w:val="0"/>
        <w:spacing w:before="312" w:beforeLines="100" w:after="312" w:afterLines="100" w:line="560" w:lineRule="exact"/>
        <w:rPr>
          <w:rFonts w:ascii="华文中宋" w:hAnsi="华文中宋" w:eastAsia="华文中宋"/>
          <w:b/>
          <w:color w:val="auto"/>
          <w:sz w:val="36"/>
          <w:szCs w:val="36"/>
        </w:rPr>
      </w:pPr>
    </w:p>
    <w:p>
      <w:pPr>
        <w:pStyle w:val="3"/>
        <w:adjustRightInd w:val="0"/>
        <w:spacing w:before="312" w:beforeLines="100" w:after="312" w:afterLines="100" w:line="560" w:lineRule="exact"/>
        <w:rPr>
          <w:rFonts w:ascii="华文中宋" w:hAnsi="华文中宋" w:eastAsia="华文中宋"/>
          <w:b/>
          <w:color w:val="auto"/>
          <w:sz w:val="36"/>
          <w:szCs w:val="36"/>
        </w:rPr>
      </w:pPr>
    </w:p>
    <w:p>
      <w:pPr>
        <w:pStyle w:val="3"/>
        <w:adjustRightInd w:val="0"/>
        <w:spacing w:before="312" w:beforeLines="100" w:after="312" w:afterLines="100" w:line="560" w:lineRule="exact"/>
        <w:rPr>
          <w:rFonts w:ascii="华文中宋" w:hAnsi="华文中宋" w:eastAsia="华文中宋"/>
          <w:b/>
          <w:color w:val="auto"/>
          <w:sz w:val="36"/>
          <w:szCs w:val="36"/>
        </w:rPr>
      </w:pPr>
    </w:p>
    <w:p>
      <w:pPr>
        <w:pStyle w:val="3"/>
        <w:adjustRightInd w:val="0"/>
        <w:spacing w:before="312" w:beforeLines="100" w:after="312" w:afterLines="100" w:line="560" w:lineRule="exact"/>
        <w:rPr>
          <w:rFonts w:ascii="华文中宋" w:hAnsi="华文中宋" w:eastAsia="华文中宋"/>
          <w:b/>
          <w:color w:val="auto"/>
          <w:szCs w:val="44"/>
        </w:rPr>
      </w:pPr>
      <w:r>
        <w:rPr>
          <w:rFonts w:hint="eastAsia" w:ascii="华文中宋" w:hAnsi="华文中宋" w:eastAsia="华文中宋"/>
          <w:b/>
          <w:color w:val="auto"/>
          <w:szCs w:val="44"/>
        </w:rPr>
        <w:t>北京市大兴区</w:t>
      </w:r>
      <w:r>
        <w:rPr>
          <w:rFonts w:hint="eastAsia" w:ascii="华文中宋" w:hAnsi="华文中宋" w:eastAsia="华文中宋"/>
          <w:b/>
          <w:color w:val="auto"/>
          <w:szCs w:val="44"/>
          <w:lang w:eastAsia="zh-CN"/>
        </w:rPr>
        <w:t>旅游发展委员会</w:t>
      </w:r>
      <w:r>
        <w:rPr>
          <w:rFonts w:hint="eastAsia" w:ascii="华文中宋" w:hAnsi="华文中宋" w:eastAsia="华文中宋"/>
          <w:b/>
          <w:color w:val="auto"/>
          <w:szCs w:val="44"/>
        </w:rPr>
        <w:t>2015年度</w:t>
      </w:r>
    </w:p>
    <w:p>
      <w:pPr>
        <w:pStyle w:val="3"/>
        <w:adjustRightInd w:val="0"/>
        <w:spacing w:before="312" w:beforeLines="100" w:after="312" w:afterLines="100" w:line="560" w:lineRule="exact"/>
        <w:rPr>
          <w:rFonts w:ascii="华文中宋" w:hAnsi="华文中宋" w:eastAsia="华文中宋"/>
          <w:b/>
          <w:color w:val="auto"/>
          <w:sz w:val="52"/>
          <w:szCs w:val="52"/>
        </w:rPr>
      </w:pPr>
      <w:r>
        <w:rPr>
          <w:rFonts w:hint="eastAsia" w:ascii="华文中宋" w:hAnsi="华文中宋" w:eastAsia="华文中宋"/>
          <w:b/>
          <w:color w:val="auto"/>
          <w:szCs w:val="44"/>
        </w:rPr>
        <w:t>政府信息公开工作年度报告</w:t>
      </w:r>
    </w:p>
    <w:p>
      <w:pPr>
        <w:widowControl/>
        <w:spacing w:line="560" w:lineRule="exact"/>
        <w:ind w:firstLine="641" w:firstLineChars="304"/>
        <w:outlineLvl w:val="0"/>
        <w:rPr>
          <w:rFonts w:ascii="仿宋_GB2312" w:hAnsi="宋体" w:eastAsia="仿宋_GB2312" w:cs="宋体"/>
          <w:color w:val="000000"/>
          <w:kern w:val="0"/>
          <w:sz w:val="32"/>
          <w:szCs w:val="32"/>
        </w:rPr>
      </w:pPr>
      <w:r>
        <w:rPr>
          <w:rFonts w:ascii="宋体" w:hAnsi="宋体"/>
          <w:b/>
          <w:szCs w:val="44"/>
        </w:rPr>
        <w:br w:type="page"/>
      </w:r>
      <w:r>
        <w:rPr>
          <w:rFonts w:hint="eastAsia" w:ascii="仿宋_GB2312" w:hAnsi="宋体" w:eastAsia="仿宋_GB2312" w:cs="宋体"/>
          <w:color w:val="000000"/>
          <w:kern w:val="0"/>
          <w:sz w:val="32"/>
          <w:szCs w:val="32"/>
        </w:rPr>
        <w:t>本报告是根据《中华人民共和国政府信息公开条例》（以下</w:t>
      </w:r>
      <w:r>
        <w:rPr>
          <w:rFonts w:hint="eastAsia" w:ascii="仿宋_GB2312" w:hAnsi="宋体" w:eastAsia="仿宋_GB2312"/>
          <w:sz w:val="32"/>
          <w:szCs w:val="32"/>
        </w:rPr>
        <w:t>简称《条例》）要求</w:t>
      </w:r>
      <w:r>
        <w:rPr>
          <w:rFonts w:hint="eastAsia" w:ascii="仿宋_GB2312" w:hAnsi="宋体" w:eastAsia="仿宋_GB2312"/>
          <w:color w:val="000000"/>
          <w:sz w:val="32"/>
          <w:szCs w:val="32"/>
        </w:rPr>
        <w:t>，由北京市大兴区</w:t>
      </w:r>
      <w:r>
        <w:rPr>
          <w:rFonts w:hint="eastAsia" w:ascii="仿宋_GB2312" w:hAnsi="宋体" w:eastAsia="仿宋_GB2312"/>
          <w:color w:val="000000"/>
          <w:sz w:val="32"/>
          <w:szCs w:val="32"/>
          <w:lang w:eastAsia="zh-CN"/>
        </w:rPr>
        <w:t>旅游发展委员会</w:t>
      </w:r>
      <w:r>
        <w:rPr>
          <w:rFonts w:hint="eastAsia" w:ascii="仿宋_GB2312" w:hAnsi="宋体" w:eastAsia="仿宋_GB2312"/>
          <w:color w:val="000000"/>
          <w:sz w:val="32"/>
          <w:szCs w:val="32"/>
        </w:rPr>
        <w:t>编</w:t>
      </w:r>
      <w:r>
        <w:rPr>
          <w:rFonts w:hint="eastAsia" w:ascii="仿宋_GB2312" w:hAnsi="宋体" w:eastAsia="仿宋_GB2312" w:cs="宋体"/>
          <w:color w:val="000000"/>
          <w:kern w:val="0"/>
          <w:sz w:val="32"/>
          <w:szCs w:val="32"/>
        </w:rPr>
        <w:t>制的2015年度政府信息公开年度报告。</w:t>
      </w:r>
    </w:p>
    <w:p>
      <w:pPr>
        <w:widowControl/>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kern w:val="0"/>
          <w:sz w:val="32"/>
          <w:szCs w:val="32"/>
        </w:rPr>
        <w:t>全文包括概述，主动公开政府信息的情况，依申请公开政府信息和不予公开政府信息的情况，因政府信息公开申请行政复议、提起行政诉讼的情况，政府信息公开工作存在不足及改进措施。</w:t>
      </w:r>
    </w:p>
    <w:p>
      <w:pPr>
        <w:widowControl/>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kern w:val="0"/>
          <w:sz w:val="32"/>
          <w:szCs w:val="32"/>
        </w:rPr>
        <w:t>本报告中所列数据的统计期限自2015年1月1日起至2015年12月31日止。本报告的电子</w:t>
      </w:r>
      <w:r>
        <w:rPr>
          <w:rFonts w:hint="eastAsia" w:ascii="仿宋_GB2312" w:hAnsi="宋体" w:eastAsia="仿宋_GB2312" w:cs="宋体"/>
          <w:spacing w:val="-2"/>
          <w:kern w:val="0"/>
          <w:sz w:val="32"/>
          <w:szCs w:val="32"/>
        </w:rPr>
        <w:t>版可在大兴信息网（</w:t>
      </w:r>
      <w:r>
        <w:rPr>
          <w:rFonts w:ascii="仿宋_GB2312" w:hAnsi="宋体" w:eastAsia="仿宋_GB2312" w:cs="宋体"/>
          <w:color w:val="000000"/>
          <w:spacing w:val="-12"/>
          <w:kern w:val="0"/>
          <w:sz w:val="32"/>
          <w:szCs w:val="32"/>
        </w:rPr>
        <w:t>http://www.bjdx.gov.cn/</w:t>
      </w:r>
      <w:r>
        <w:rPr>
          <w:rFonts w:hint="eastAsia" w:ascii="仿宋_GB2312" w:hAnsi="宋体" w:eastAsia="仿宋_GB2312" w:cs="宋体"/>
          <w:spacing w:val="-2"/>
          <w:kern w:val="0"/>
          <w:sz w:val="32"/>
          <w:szCs w:val="32"/>
        </w:rPr>
        <w:t>）信息公开栏目中下载。</w:t>
      </w:r>
      <w:r>
        <w:rPr>
          <w:rFonts w:hint="eastAsia" w:ascii="仿宋_GB2312" w:hAnsi="宋体" w:eastAsia="仿宋_GB2312" w:cs="宋体"/>
          <w:kern w:val="0"/>
          <w:sz w:val="32"/>
          <w:szCs w:val="32"/>
        </w:rPr>
        <w:t>如对报告有任何疑问，请与</w:t>
      </w:r>
      <w:r>
        <w:rPr>
          <w:rFonts w:hint="eastAsia" w:ascii="仿宋_GB2312" w:hAnsi="宋体" w:eastAsia="仿宋_GB2312" w:cs="宋体"/>
          <w:kern w:val="0"/>
          <w:sz w:val="32"/>
          <w:szCs w:val="32"/>
          <w:lang w:eastAsia="zh-CN"/>
        </w:rPr>
        <w:t>北京市</w:t>
      </w:r>
      <w:r>
        <w:rPr>
          <w:rFonts w:hint="eastAsia" w:ascii="仿宋_GB2312" w:hAnsi="宋体" w:eastAsia="仿宋_GB2312"/>
          <w:color w:val="000000"/>
          <w:sz w:val="32"/>
          <w:szCs w:val="32"/>
        </w:rPr>
        <w:t>大兴区</w:t>
      </w:r>
      <w:r>
        <w:rPr>
          <w:rFonts w:hint="eastAsia" w:ascii="仿宋_GB2312" w:hAnsi="宋体" w:eastAsia="仿宋_GB2312"/>
          <w:color w:val="000000"/>
          <w:sz w:val="32"/>
          <w:szCs w:val="32"/>
          <w:lang w:eastAsia="zh-CN"/>
        </w:rPr>
        <w:t>旅游发展委员会</w:t>
      </w:r>
      <w:r>
        <w:rPr>
          <w:rFonts w:hint="eastAsia" w:ascii="仿宋_GB2312" w:hAnsi="宋体" w:eastAsia="仿宋_GB2312" w:cs="宋体"/>
          <w:kern w:val="0"/>
          <w:sz w:val="32"/>
          <w:szCs w:val="32"/>
        </w:rPr>
        <w:t>联系（地址:北京市大兴区</w:t>
      </w:r>
      <w:r>
        <w:rPr>
          <w:rFonts w:hint="eastAsia" w:ascii="仿宋_GB2312" w:hAnsi="宋体" w:eastAsia="仿宋_GB2312" w:cs="宋体"/>
          <w:color w:val="000000"/>
          <w:kern w:val="0"/>
          <w:sz w:val="32"/>
          <w:szCs w:val="32"/>
          <w:lang w:eastAsia="zh-CN"/>
        </w:rPr>
        <w:t>桐城行政办公楼</w:t>
      </w:r>
      <w:r>
        <w:rPr>
          <w:rFonts w:hint="eastAsia" w:ascii="仿宋_GB2312" w:hAnsi="宋体" w:eastAsia="仿宋_GB2312" w:cs="宋体"/>
          <w:color w:val="000000"/>
          <w:kern w:val="0"/>
          <w:sz w:val="32"/>
          <w:szCs w:val="32"/>
          <w:lang w:val="en-US" w:eastAsia="zh-CN"/>
        </w:rPr>
        <w:t>c座401室</w:t>
      </w:r>
      <w:r>
        <w:rPr>
          <w:rFonts w:hint="eastAsia" w:ascii="仿宋_GB2312" w:hAnsi="宋体" w:eastAsia="仿宋_GB2312" w:cs="宋体"/>
          <w:kern w:val="0"/>
          <w:sz w:val="32"/>
          <w:szCs w:val="32"/>
        </w:rPr>
        <w:t>；邮编：</w:t>
      </w:r>
      <w:r>
        <w:rPr>
          <w:rFonts w:hint="eastAsia" w:ascii="仿宋_GB2312" w:hAnsi="宋体" w:eastAsia="仿宋_GB2312" w:cs="宋体"/>
          <w:color w:val="000000"/>
          <w:kern w:val="0"/>
          <w:sz w:val="32"/>
          <w:szCs w:val="32"/>
          <w:lang w:val="en-US" w:eastAsia="zh-CN"/>
        </w:rPr>
        <w:t>102600</w:t>
      </w:r>
      <w:r>
        <w:rPr>
          <w:rFonts w:hint="eastAsia" w:ascii="仿宋_GB2312" w:hAnsi="宋体" w:eastAsia="仿宋_GB2312" w:cs="宋体"/>
          <w:kern w:val="0"/>
          <w:sz w:val="32"/>
          <w:szCs w:val="32"/>
        </w:rPr>
        <w:t>；</w:t>
      </w:r>
      <w:r>
        <w:rPr>
          <w:rFonts w:hint="eastAsia" w:ascii="仿宋_GB2312" w:hAnsi="宋体" w:eastAsia="仿宋_GB2312" w:cs="宋体"/>
          <w:spacing w:val="-12"/>
          <w:kern w:val="15"/>
          <w:sz w:val="32"/>
          <w:szCs w:val="32"/>
        </w:rPr>
        <w:t>联系电话：010-</w:t>
      </w:r>
      <w:r>
        <w:rPr>
          <w:rFonts w:hint="eastAsia" w:ascii="仿宋_GB2312" w:hAnsi="宋体" w:eastAsia="仿宋_GB2312" w:cs="宋体"/>
          <w:color w:val="000000"/>
          <w:kern w:val="0"/>
          <w:sz w:val="32"/>
          <w:szCs w:val="32"/>
          <w:lang w:val="en-US" w:eastAsia="zh-CN"/>
        </w:rPr>
        <w:t>81298813</w:t>
      </w:r>
      <w:r>
        <w:rPr>
          <w:rFonts w:hint="eastAsia" w:ascii="仿宋_GB2312" w:hAnsi="宋体" w:eastAsia="仿宋_GB2312" w:cs="宋体"/>
          <w:spacing w:val="-12"/>
          <w:kern w:val="15"/>
          <w:sz w:val="32"/>
          <w:szCs w:val="32"/>
        </w:rPr>
        <w:t>；电子邮箱：</w:t>
      </w:r>
      <w:r>
        <w:rPr>
          <w:rFonts w:hint="eastAsia" w:ascii="仿宋_GB2312" w:hAnsi="宋体" w:eastAsia="仿宋_GB2312" w:cs="宋体"/>
          <w:color w:val="000000"/>
          <w:kern w:val="0"/>
          <w:sz w:val="32"/>
          <w:szCs w:val="32"/>
          <w:lang w:val="en-US" w:eastAsia="zh-CN"/>
        </w:rPr>
        <w:t>lyw_bgs</w:t>
      </w:r>
      <w:r>
        <w:rPr>
          <w:rFonts w:hint="eastAsia" w:ascii="仿宋_GB2312" w:hAnsi="宋体" w:eastAsia="仿宋_GB2312" w:cs="宋体"/>
          <w:spacing w:val="-12"/>
          <w:kern w:val="15"/>
          <w:sz w:val="32"/>
          <w:szCs w:val="32"/>
        </w:rPr>
        <w:t>@</w:t>
      </w:r>
      <w:r>
        <w:rPr>
          <w:rFonts w:hint="eastAsia" w:ascii="仿宋_GB2312" w:hAnsi="宋体" w:eastAsia="仿宋_GB2312" w:cs="宋体"/>
          <w:color w:val="000000"/>
          <w:kern w:val="0"/>
          <w:sz w:val="32"/>
          <w:szCs w:val="32"/>
          <w:lang w:val="en-US" w:eastAsia="zh-CN"/>
        </w:rPr>
        <w:t>bjdx.gov.cn</w:t>
      </w:r>
    </w:p>
    <w:p>
      <w:pPr>
        <w:widowControl/>
        <w:spacing w:after="312" w:afterLines="100" w:line="560" w:lineRule="exact"/>
        <w:jc w:val="center"/>
        <w:rPr>
          <w:rFonts w:ascii="仿宋_GB2312" w:hAnsi="宋体" w:eastAsia="仿宋_GB2312" w:cs="宋体"/>
          <w:color w:val="000000"/>
          <w:kern w:val="0"/>
          <w:sz w:val="32"/>
          <w:szCs w:val="32"/>
        </w:rPr>
      </w:pPr>
      <w:r>
        <w:rPr>
          <w:rFonts w:ascii="仿宋_GB2312" w:hAnsi="宋体" w:eastAsia="仿宋_GB2312" w:cs="宋体"/>
          <w:color w:val="000000"/>
          <w:kern w:val="0"/>
          <w:sz w:val="32"/>
          <w:szCs w:val="32"/>
        </w:rPr>
        <w:br w:type="page"/>
      </w:r>
      <w:r>
        <w:rPr>
          <w:rFonts w:hint="eastAsia" w:ascii="黑体" w:hAnsi="宋体" w:eastAsia="黑体" w:cs="宋体"/>
          <w:color w:val="000000"/>
          <w:kern w:val="0"/>
          <w:sz w:val="32"/>
          <w:szCs w:val="32"/>
        </w:rPr>
        <w:t>一、概述</w:t>
      </w:r>
    </w:p>
    <w:p>
      <w:pPr>
        <w:spacing w:line="360" w:lineRule="auto"/>
        <w:ind w:firstLine="640" w:firstLineChars="200"/>
        <w:rPr>
          <w:rFonts w:hint="eastAsia" w:ascii="仿宋_GB2312" w:eastAsia="仿宋_GB2312"/>
          <w:sz w:val="32"/>
          <w:szCs w:val="32"/>
        </w:rPr>
      </w:pPr>
      <w:r>
        <w:rPr>
          <w:rFonts w:hint="eastAsia" w:ascii="仿宋_GB2312" w:hAnsi="仿宋" w:eastAsia="仿宋_GB2312" w:cs="Arial"/>
          <w:sz w:val="32"/>
          <w:szCs w:val="32"/>
        </w:rPr>
        <w:t>201</w:t>
      </w:r>
      <w:r>
        <w:rPr>
          <w:rFonts w:hint="eastAsia" w:ascii="仿宋_GB2312" w:hAnsi="仿宋" w:eastAsia="仿宋_GB2312" w:cs="Arial"/>
          <w:sz w:val="32"/>
          <w:szCs w:val="32"/>
          <w:lang w:val="en-US" w:eastAsia="zh-CN"/>
        </w:rPr>
        <w:t>5</w:t>
      </w:r>
      <w:r>
        <w:rPr>
          <w:rFonts w:hint="eastAsia" w:ascii="仿宋_GB2312" w:hAnsi="仿宋" w:eastAsia="仿宋_GB2312" w:cs="Arial"/>
          <w:sz w:val="32"/>
          <w:szCs w:val="32"/>
        </w:rPr>
        <w:t>年，本委</w:t>
      </w:r>
      <w:r>
        <w:rPr>
          <w:rFonts w:hint="eastAsia" w:ascii="仿宋_GB2312" w:hAnsi="宋体" w:eastAsia="仿宋_GB2312" w:cs="宋体"/>
          <w:kern w:val="0"/>
          <w:sz w:val="32"/>
          <w:szCs w:val="32"/>
        </w:rPr>
        <w:t>认真贯彻落实《条例》精神，</w:t>
      </w:r>
      <w:r>
        <w:rPr>
          <w:rFonts w:hint="eastAsia" w:ascii="仿宋_GB2312" w:hAnsi="仿宋" w:eastAsia="仿宋_GB2312" w:cs="Arial"/>
          <w:sz w:val="32"/>
          <w:szCs w:val="32"/>
        </w:rPr>
        <w:t>本着“实事求是、政务公开”的原则，积极做好政府信息公开工作,建立</w:t>
      </w:r>
      <w:r>
        <w:rPr>
          <w:rFonts w:hint="eastAsia" w:ascii="仿宋_GB2312" w:eastAsia="仿宋_GB2312"/>
          <w:sz w:val="32"/>
          <w:szCs w:val="32"/>
        </w:rPr>
        <w:t>政府信息公开长效机制，推动政府信息公开工作深入开展。</w:t>
      </w:r>
    </w:p>
    <w:p>
      <w:pPr>
        <w:spacing w:line="360" w:lineRule="auto"/>
        <w:ind w:firstLine="640" w:firstLineChars="200"/>
        <w:rPr>
          <w:rFonts w:hint="eastAsia" w:ascii="仿宋_GB2312" w:hAnsi="仿宋" w:eastAsia="仿宋_GB2312" w:cs="Arial"/>
          <w:sz w:val="32"/>
          <w:szCs w:val="32"/>
        </w:rPr>
      </w:pPr>
      <w:r>
        <w:rPr>
          <w:rFonts w:hint="eastAsia" w:ascii="仿宋_GB2312" w:hAnsi="仿宋" w:eastAsia="仿宋_GB2312" w:cs="Arial"/>
          <w:sz w:val="32"/>
          <w:szCs w:val="32"/>
        </w:rPr>
        <w:t>一、健全工作机构，确保责任落实。本委政府信息公开工作由委办公室负责，将政府信息公开工作与日常的信息工作、电子政务工作相结合，确保工作有专门工作人员承办，责任到人，层层落实，及时准确地发布了相关信息，有效提升了公共服务水平，促进了政府信息公开工作的深入开展。</w:t>
      </w:r>
    </w:p>
    <w:p>
      <w:pPr>
        <w:ind w:firstLine="640" w:firstLineChars="200"/>
        <w:rPr>
          <w:rFonts w:hint="eastAsia" w:ascii="仿宋_GB2312" w:eastAsia="仿宋_GB2312"/>
          <w:sz w:val="32"/>
          <w:szCs w:val="32"/>
        </w:rPr>
      </w:pPr>
      <w:r>
        <w:rPr>
          <w:rFonts w:hint="eastAsia" w:ascii="仿宋_GB2312" w:eastAsia="仿宋_GB2312"/>
          <w:sz w:val="32"/>
          <w:szCs w:val="32"/>
        </w:rPr>
        <w:t>二、建设长效机制，提升工作质量。为了进一步加强政府信息公开工作标准化和规范化建设，</w:t>
      </w:r>
      <w:r>
        <w:rPr>
          <w:rFonts w:hint="eastAsia" w:ascii="仿宋_GB2312" w:hAnsi="宋体" w:eastAsia="仿宋_GB2312"/>
          <w:color w:val="000000"/>
          <w:sz w:val="32"/>
          <w:szCs w:val="32"/>
        </w:rPr>
        <w:t>本委对主动公开信息的内容、形式、程序，以及依申请公开的受理、办理、答复等各个环节作出了详细规定，</w:t>
      </w:r>
      <w:r>
        <w:rPr>
          <w:rFonts w:hint="eastAsia" w:ascii="仿宋_GB2312" w:eastAsia="仿宋_GB2312"/>
          <w:sz w:val="32"/>
          <w:szCs w:val="32"/>
        </w:rPr>
        <w:t>确保我委政府信息公开工作稳定持续开展。</w:t>
      </w:r>
    </w:p>
    <w:p>
      <w:pPr>
        <w:widowControl/>
        <w:spacing w:before="312" w:beforeLines="100" w:after="312" w:afterLines="100" w:line="560" w:lineRule="exact"/>
        <w:jc w:val="center"/>
        <w:rPr>
          <w:rFonts w:ascii="黑体" w:hAnsi="宋体" w:eastAsia="黑体" w:cs="宋体"/>
          <w:color w:val="000000"/>
          <w:kern w:val="0"/>
          <w:sz w:val="32"/>
          <w:szCs w:val="32"/>
        </w:rPr>
      </w:pPr>
      <w:r>
        <w:rPr>
          <w:rFonts w:hint="eastAsia" w:ascii="黑体" w:hAnsi="宋体" w:eastAsia="黑体" w:cs="宋体"/>
          <w:color w:val="000000"/>
          <w:kern w:val="0"/>
          <w:sz w:val="32"/>
          <w:szCs w:val="32"/>
        </w:rPr>
        <w:t>二、主动公开情况</w:t>
      </w:r>
    </w:p>
    <w:p>
      <w:pPr>
        <w:widowControl/>
        <w:spacing w:line="560" w:lineRule="exact"/>
        <w:ind w:firstLine="640" w:firstLineChars="200"/>
        <w:rPr>
          <w:rFonts w:ascii="仿宋_GB2312" w:hAnsi="华文中宋" w:eastAsia="仿宋_GB2312"/>
          <w:sz w:val="32"/>
          <w:szCs w:val="32"/>
        </w:rPr>
      </w:pPr>
      <w:r>
        <w:rPr>
          <w:rFonts w:hint="eastAsia" w:ascii="仿宋_GB2312" w:hAnsi="华文中宋" w:eastAsia="仿宋_GB2312"/>
          <w:sz w:val="32"/>
          <w:szCs w:val="32"/>
        </w:rPr>
        <w:t>按照《条例》第9至12条规定的主动公开政府信息范围，本</w:t>
      </w:r>
      <w:r>
        <w:rPr>
          <w:rFonts w:hint="eastAsia" w:ascii="仿宋_GB2312" w:hAnsi="宋体" w:eastAsia="仿宋_GB2312"/>
          <w:i w:val="0"/>
          <w:iCs/>
          <w:color w:val="000000"/>
          <w:sz w:val="32"/>
          <w:szCs w:val="32"/>
          <w:lang w:eastAsia="zh-CN"/>
        </w:rPr>
        <w:t>委</w:t>
      </w:r>
      <w:r>
        <w:rPr>
          <w:rFonts w:hint="eastAsia" w:ascii="仿宋_GB2312" w:hAnsi="华文中宋" w:eastAsia="仿宋_GB2312"/>
          <w:sz w:val="32"/>
          <w:szCs w:val="32"/>
        </w:rPr>
        <w:t>开展了信息清理和目录编制工作，并按照《条例》第15条规定，通过</w:t>
      </w:r>
      <w:r>
        <w:rPr>
          <w:rFonts w:hint="eastAsia" w:ascii="仿宋_GB2312" w:hAnsi="宋体" w:eastAsia="仿宋_GB2312"/>
          <w:i w:val="0"/>
          <w:iCs/>
          <w:color w:val="000000"/>
          <w:sz w:val="32"/>
          <w:szCs w:val="32"/>
        </w:rPr>
        <w:t>政府网站</w:t>
      </w:r>
      <w:r>
        <w:rPr>
          <w:rFonts w:hint="eastAsia" w:ascii="仿宋_GB2312" w:hAnsi="华文中宋" w:eastAsia="仿宋_GB2312"/>
          <w:sz w:val="32"/>
          <w:szCs w:val="32"/>
        </w:rPr>
        <w:t>等便于公众知晓的方式主动公开。按照《条例》 第16条规定，继续完善</w:t>
      </w:r>
      <w:r>
        <w:rPr>
          <w:rFonts w:hint="eastAsia" w:ascii="仿宋_GB2312" w:hAnsi="宋体" w:eastAsia="仿宋_GB2312"/>
          <w:i w:val="0"/>
          <w:iCs/>
          <w:color w:val="000000"/>
          <w:sz w:val="32"/>
          <w:szCs w:val="32"/>
        </w:rPr>
        <w:t>政府信息公开大厅/政府信息查阅中心</w:t>
      </w:r>
      <w:r>
        <w:rPr>
          <w:rFonts w:hint="eastAsia" w:ascii="仿宋_GB2312" w:hAnsi="华文中宋" w:eastAsia="仿宋_GB2312"/>
          <w:sz w:val="32"/>
          <w:szCs w:val="32"/>
        </w:rPr>
        <w:t>等政府信息公开查阅场所，为公民、法人或者其他组织获取政府信息提供便利。</w:t>
      </w:r>
    </w:p>
    <w:p>
      <w:pPr>
        <w:widowControl/>
        <w:numPr>
          <w:ilvl w:val="0"/>
          <w:numId w:val="1"/>
        </w:numPr>
        <w:spacing w:line="560" w:lineRule="exact"/>
        <w:ind w:firstLine="643" w:firstLineChars="200"/>
        <w:rPr>
          <w:rFonts w:hint="eastAsia" w:ascii="楷体_GB2312" w:hAnsi="宋体" w:eastAsia="楷体_GB2312" w:cs="宋体"/>
          <w:b/>
          <w:kern w:val="0"/>
          <w:sz w:val="32"/>
          <w:szCs w:val="32"/>
        </w:rPr>
      </w:pPr>
      <w:r>
        <w:rPr>
          <w:rFonts w:hint="eastAsia" w:ascii="楷体_GB2312" w:hAnsi="宋体" w:eastAsia="楷体_GB2312" w:cs="宋体"/>
          <w:b/>
          <w:kern w:val="0"/>
          <w:sz w:val="32"/>
          <w:szCs w:val="32"/>
        </w:rPr>
        <w:t>主动公开数据</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政府网站</w:t>
      </w:r>
    </w:p>
    <w:p>
      <w:pPr>
        <w:widowControl/>
        <w:spacing w:line="560" w:lineRule="exact"/>
        <w:ind w:firstLine="640" w:firstLineChars="200"/>
        <w:rPr>
          <w:rFonts w:hint="eastAsia" w:ascii="楷体_GB2312" w:hAnsi="宋体" w:eastAsia="楷体_GB2312" w:cs="宋体"/>
          <w:b/>
          <w:kern w:val="0"/>
          <w:sz w:val="32"/>
          <w:szCs w:val="32"/>
        </w:rPr>
      </w:pPr>
      <w:r>
        <w:rPr>
          <w:rFonts w:hint="eastAsia" w:ascii="仿宋_GB2312" w:hAnsi="Arial Narrow" w:eastAsia="仿宋_GB2312"/>
          <w:sz w:val="32"/>
          <w:szCs w:val="32"/>
        </w:rPr>
        <w:t>本委</w:t>
      </w:r>
      <w:r>
        <w:rPr>
          <w:rFonts w:hint="eastAsia" w:ascii="仿宋_GB2312" w:eastAsia="仿宋_GB2312"/>
          <w:color w:val="000000"/>
          <w:sz w:val="32"/>
          <w:szCs w:val="32"/>
        </w:rPr>
        <w:t>政府门户网站</w:t>
      </w:r>
      <w:r>
        <w:rPr>
          <w:rFonts w:hint="eastAsia" w:ascii="仿宋_GB2312" w:eastAsia="仿宋_GB2312"/>
          <w:sz w:val="32"/>
          <w:szCs w:val="32"/>
        </w:rPr>
        <w:t>专栏下设政府信息公开指南、政府信息公开目录、政府信息公开年报、依申请公开、监督投诉等栏目。根据</w:t>
      </w:r>
      <w:r>
        <w:rPr>
          <w:rFonts w:hint="eastAsia" w:ascii="仿宋_GB2312" w:hAnsi="Arial Narrow" w:eastAsia="仿宋_GB2312"/>
          <w:sz w:val="32"/>
          <w:szCs w:val="32"/>
        </w:rPr>
        <w:t>机构职能设置情况</w:t>
      </w:r>
      <w:r>
        <w:rPr>
          <w:rFonts w:hint="eastAsia" w:ascii="仿宋_GB2312" w:eastAsia="仿宋_GB2312"/>
          <w:color w:val="000000"/>
          <w:sz w:val="32"/>
          <w:szCs w:val="32"/>
        </w:rPr>
        <w:t>发布</w:t>
      </w:r>
      <w:r>
        <w:rPr>
          <w:rFonts w:hint="eastAsia" w:ascii="仿宋_GB2312" w:hAnsi="Arial Narrow" w:eastAsia="仿宋_GB2312"/>
          <w:sz w:val="32"/>
          <w:szCs w:val="32"/>
        </w:rPr>
        <w:t>主要职责，内设机构、职能信息，委领导简介等，</w:t>
      </w:r>
      <w:r>
        <w:rPr>
          <w:rFonts w:hint="eastAsia" w:ascii="仿宋_GB2312" w:eastAsia="仿宋_GB2312"/>
          <w:sz w:val="32"/>
          <w:szCs w:val="32"/>
        </w:rPr>
        <w:t>方便公众查阅大兴区旅游委主动公开的政府信息。</w:t>
      </w:r>
    </w:p>
    <w:p>
      <w:pPr>
        <w:widowControl/>
        <w:spacing w:line="560" w:lineRule="exact"/>
        <w:ind w:firstLine="640" w:firstLineChars="200"/>
        <w:rPr>
          <w:rFonts w:ascii="仿宋_GB2312" w:hAnsi="华文中宋" w:eastAsia="仿宋_GB2312"/>
          <w:sz w:val="32"/>
          <w:szCs w:val="32"/>
        </w:rPr>
      </w:pPr>
      <w:r>
        <w:rPr>
          <w:rFonts w:hint="eastAsia" w:ascii="仿宋_GB2312" w:hAnsi="华文中宋" w:eastAsia="仿宋_GB2312"/>
          <w:sz w:val="32"/>
          <w:szCs w:val="32"/>
        </w:rPr>
        <w:t>2015年主动公开政府信息数</w:t>
      </w:r>
      <w:r>
        <w:rPr>
          <w:rFonts w:hint="eastAsia" w:ascii="仿宋_GB2312" w:hAnsi="华文中宋" w:eastAsia="仿宋_GB2312"/>
          <w:sz w:val="32"/>
          <w:szCs w:val="32"/>
          <w:lang w:val="en-US" w:eastAsia="zh-CN"/>
        </w:rPr>
        <w:t>277</w:t>
      </w:r>
      <w:r>
        <w:rPr>
          <w:rFonts w:hint="eastAsia" w:ascii="仿宋_GB2312" w:hAnsi="华文中宋" w:eastAsia="仿宋_GB2312"/>
          <w:sz w:val="32"/>
          <w:szCs w:val="32"/>
        </w:rPr>
        <w:t>条。其中，机构职能类信息</w:t>
      </w:r>
      <w:r>
        <w:rPr>
          <w:rFonts w:hint="eastAsia" w:ascii="仿宋_GB2312" w:hAnsi="宋体" w:eastAsia="仿宋_GB2312" w:cs="宋体"/>
          <w:kern w:val="0"/>
          <w:sz w:val="32"/>
          <w:szCs w:val="32"/>
          <w:lang w:val="en-US" w:eastAsia="zh-CN"/>
        </w:rPr>
        <w:t>8</w:t>
      </w:r>
      <w:r>
        <w:rPr>
          <w:rFonts w:hint="eastAsia" w:ascii="仿宋_GB2312" w:hAnsi="华文中宋" w:eastAsia="仿宋_GB2312"/>
          <w:sz w:val="32"/>
          <w:szCs w:val="32"/>
        </w:rPr>
        <w:t>条，占总数的</w:t>
      </w:r>
      <w:r>
        <w:rPr>
          <w:rFonts w:hint="eastAsia" w:ascii="仿宋_GB2312" w:hAnsi="华文中宋" w:eastAsia="仿宋_GB2312"/>
          <w:sz w:val="32"/>
          <w:szCs w:val="32"/>
          <w:lang w:val="en-US" w:eastAsia="zh-CN"/>
        </w:rPr>
        <w:t>2.9</w:t>
      </w:r>
      <w:r>
        <w:rPr>
          <w:rFonts w:ascii="仿宋_GB2312" w:hAnsi="华文中宋" w:eastAsia="仿宋_GB2312"/>
          <w:sz w:val="32"/>
          <w:szCs w:val="32"/>
        </w:rPr>
        <w:t>%</w:t>
      </w:r>
      <w:r>
        <w:rPr>
          <w:rFonts w:hint="eastAsia" w:ascii="仿宋_GB2312" w:hAnsi="华文中宋" w:eastAsia="仿宋_GB2312"/>
          <w:sz w:val="32"/>
          <w:szCs w:val="32"/>
        </w:rPr>
        <w:t>；法规文件类信息</w:t>
      </w:r>
      <w:r>
        <w:rPr>
          <w:rFonts w:hint="eastAsia" w:ascii="仿宋_GB2312" w:hAnsi="宋体" w:eastAsia="仿宋_GB2312" w:cs="宋体"/>
          <w:kern w:val="0"/>
          <w:sz w:val="32"/>
          <w:szCs w:val="32"/>
          <w:lang w:val="en-US" w:eastAsia="zh-CN"/>
        </w:rPr>
        <w:t>10</w:t>
      </w:r>
      <w:r>
        <w:rPr>
          <w:rFonts w:hint="eastAsia" w:ascii="仿宋_GB2312" w:hAnsi="华文中宋" w:eastAsia="仿宋_GB2312"/>
          <w:sz w:val="32"/>
          <w:szCs w:val="32"/>
        </w:rPr>
        <w:t>条，占总数的</w:t>
      </w:r>
      <w:r>
        <w:rPr>
          <w:rFonts w:hint="eastAsia" w:ascii="仿宋_GB2312" w:hAnsi="华文中宋" w:eastAsia="仿宋_GB2312"/>
          <w:sz w:val="32"/>
          <w:szCs w:val="32"/>
          <w:lang w:val="en-US" w:eastAsia="zh-CN"/>
        </w:rPr>
        <w:t>3.6</w:t>
      </w:r>
      <w:r>
        <w:rPr>
          <w:rFonts w:ascii="仿宋_GB2312" w:hAnsi="华文中宋" w:eastAsia="仿宋_GB2312"/>
          <w:sz w:val="32"/>
          <w:szCs w:val="32"/>
        </w:rPr>
        <w:t>%</w:t>
      </w:r>
      <w:r>
        <w:rPr>
          <w:rFonts w:hint="eastAsia" w:ascii="仿宋_GB2312" w:hAnsi="华文中宋" w:eastAsia="仿宋_GB2312"/>
          <w:sz w:val="32"/>
          <w:szCs w:val="32"/>
        </w:rPr>
        <w:t>；规划计划类信息</w:t>
      </w:r>
      <w:r>
        <w:rPr>
          <w:rFonts w:hint="eastAsia" w:ascii="仿宋_GB2312" w:hAnsi="宋体" w:eastAsia="仿宋_GB2312" w:cs="宋体"/>
          <w:kern w:val="0"/>
          <w:sz w:val="32"/>
          <w:szCs w:val="32"/>
          <w:lang w:val="en-US" w:eastAsia="zh-CN"/>
        </w:rPr>
        <w:t>5</w:t>
      </w:r>
      <w:r>
        <w:rPr>
          <w:rFonts w:hint="eastAsia" w:ascii="仿宋_GB2312" w:hAnsi="华文中宋" w:eastAsia="仿宋_GB2312"/>
          <w:sz w:val="32"/>
          <w:szCs w:val="32"/>
        </w:rPr>
        <w:t>条，占总数的</w:t>
      </w:r>
      <w:r>
        <w:rPr>
          <w:rFonts w:hint="eastAsia" w:ascii="仿宋_GB2312" w:hAnsi="华文中宋" w:eastAsia="仿宋_GB2312"/>
          <w:sz w:val="32"/>
          <w:szCs w:val="32"/>
          <w:lang w:val="en-US" w:eastAsia="zh-CN"/>
        </w:rPr>
        <w:t>1.9</w:t>
      </w:r>
      <w:r>
        <w:rPr>
          <w:rFonts w:ascii="仿宋_GB2312" w:hAnsi="华文中宋" w:eastAsia="仿宋_GB2312"/>
          <w:sz w:val="32"/>
          <w:szCs w:val="32"/>
        </w:rPr>
        <w:t>%</w:t>
      </w:r>
      <w:r>
        <w:rPr>
          <w:rFonts w:hint="eastAsia" w:ascii="仿宋_GB2312" w:hAnsi="华文中宋" w:eastAsia="仿宋_GB2312"/>
          <w:sz w:val="32"/>
          <w:szCs w:val="32"/>
        </w:rPr>
        <w:t>；行政职责类信息</w:t>
      </w:r>
      <w:r>
        <w:rPr>
          <w:rFonts w:hint="eastAsia" w:ascii="仿宋_GB2312" w:hAnsi="华文中宋" w:eastAsia="仿宋_GB2312"/>
          <w:sz w:val="32"/>
          <w:szCs w:val="32"/>
          <w:lang w:val="en-US" w:eastAsia="zh-CN"/>
        </w:rPr>
        <w:t>4</w:t>
      </w:r>
      <w:r>
        <w:rPr>
          <w:rFonts w:hint="eastAsia" w:ascii="仿宋_GB2312" w:hAnsi="华文中宋" w:eastAsia="仿宋_GB2312"/>
          <w:sz w:val="32"/>
          <w:szCs w:val="32"/>
        </w:rPr>
        <w:t>条，占总数的</w:t>
      </w:r>
      <w:r>
        <w:rPr>
          <w:rFonts w:hint="eastAsia" w:ascii="仿宋_GB2312" w:hAnsi="华文中宋" w:eastAsia="仿宋_GB2312"/>
          <w:sz w:val="32"/>
          <w:szCs w:val="32"/>
          <w:lang w:val="en-US" w:eastAsia="zh-CN"/>
        </w:rPr>
        <w:t>1.4</w:t>
      </w:r>
      <w:r>
        <w:rPr>
          <w:rFonts w:ascii="仿宋_GB2312" w:hAnsi="华文中宋" w:eastAsia="仿宋_GB2312"/>
          <w:sz w:val="32"/>
          <w:szCs w:val="32"/>
        </w:rPr>
        <w:t>%</w:t>
      </w:r>
      <w:r>
        <w:rPr>
          <w:rFonts w:hint="eastAsia" w:ascii="仿宋_GB2312" w:hAnsi="华文中宋" w:eastAsia="仿宋_GB2312"/>
          <w:sz w:val="32"/>
          <w:szCs w:val="32"/>
        </w:rPr>
        <w:t>；业务动态类信息</w:t>
      </w:r>
      <w:r>
        <w:rPr>
          <w:rFonts w:hint="eastAsia" w:ascii="仿宋_GB2312" w:hAnsi="华文中宋" w:eastAsia="仿宋_GB2312"/>
          <w:sz w:val="32"/>
          <w:szCs w:val="32"/>
          <w:lang w:val="en-US" w:eastAsia="zh-CN"/>
        </w:rPr>
        <w:t>250</w:t>
      </w:r>
      <w:r>
        <w:rPr>
          <w:rFonts w:hint="eastAsia" w:ascii="仿宋_GB2312" w:hAnsi="华文中宋" w:eastAsia="仿宋_GB2312"/>
          <w:sz w:val="32"/>
          <w:szCs w:val="32"/>
        </w:rPr>
        <w:t>条，占总数的</w:t>
      </w:r>
      <w:r>
        <w:rPr>
          <w:rFonts w:hint="eastAsia" w:ascii="仿宋_GB2312" w:hAnsi="华文中宋" w:eastAsia="仿宋_GB2312"/>
          <w:sz w:val="32"/>
          <w:szCs w:val="32"/>
          <w:lang w:val="en-US" w:eastAsia="zh-CN"/>
        </w:rPr>
        <w:t>90.2</w:t>
      </w:r>
      <w:r>
        <w:rPr>
          <w:rFonts w:ascii="仿宋_GB2312" w:hAnsi="华文中宋" w:eastAsia="仿宋_GB2312"/>
          <w:sz w:val="32"/>
          <w:szCs w:val="32"/>
        </w:rPr>
        <w:t>%</w:t>
      </w:r>
      <w:r>
        <w:rPr>
          <w:rFonts w:hint="eastAsia" w:ascii="仿宋_GB2312" w:hAnsi="华文中宋" w:eastAsia="仿宋_GB2312"/>
          <w:sz w:val="32"/>
          <w:szCs w:val="32"/>
        </w:rPr>
        <w:t>。</w:t>
      </w:r>
    </w:p>
    <w:p>
      <w:pPr>
        <w:widowControl/>
        <w:spacing w:line="560" w:lineRule="exact"/>
        <w:ind w:firstLine="643" w:firstLineChars="200"/>
        <w:rPr>
          <w:rFonts w:hint="eastAsia" w:ascii="楷体_GB2312" w:hAnsi="宋体" w:eastAsia="楷体_GB2312" w:cs="宋体"/>
          <w:b/>
          <w:kern w:val="0"/>
          <w:sz w:val="32"/>
          <w:szCs w:val="32"/>
        </w:rPr>
      </w:pPr>
      <w:r>
        <w:rPr>
          <w:rFonts w:hint="eastAsia" w:ascii="楷体_GB2312" w:hAnsi="宋体" w:eastAsia="楷体_GB2312" w:cs="宋体"/>
          <w:b/>
          <w:kern w:val="0"/>
          <w:sz w:val="32"/>
          <w:szCs w:val="32"/>
        </w:rPr>
        <w:t>（二）公共查阅场所</w:t>
      </w:r>
    </w:p>
    <w:p>
      <w:pPr>
        <w:widowControl/>
        <w:spacing w:line="560" w:lineRule="exact"/>
        <w:ind w:firstLine="640" w:firstLineChars="200"/>
        <w:rPr>
          <w:rFonts w:hint="eastAsia" w:ascii="仿宋_GB2312" w:hAnsi="宋体" w:eastAsia="仿宋_GB2312" w:cs="宋体"/>
          <w:color w:val="000000"/>
          <w:kern w:val="0"/>
          <w:sz w:val="32"/>
          <w:szCs w:val="32"/>
        </w:rPr>
      </w:pPr>
      <w:r>
        <w:rPr>
          <w:rFonts w:hint="eastAsia" w:ascii="仿宋_GB2312" w:hAnsi="华文中宋" w:eastAsia="仿宋_GB2312"/>
          <w:sz w:val="32"/>
          <w:szCs w:val="32"/>
        </w:rPr>
        <w:t>本委</w:t>
      </w:r>
      <w:r>
        <w:rPr>
          <w:rFonts w:hint="eastAsia" w:ascii="仿宋_GB2312" w:hAnsi="宋体" w:eastAsia="仿宋_GB2312" w:cs="宋体"/>
          <w:kern w:val="0"/>
          <w:sz w:val="32"/>
          <w:szCs w:val="32"/>
        </w:rPr>
        <w:t>共设立1个政府信息公开查阅场所。</w:t>
      </w:r>
      <w:r>
        <w:rPr>
          <w:rFonts w:hint="eastAsia" w:ascii="仿宋_GB2312" w:eastAsia="仿宋_GB2312"/>
          <w:sz w:val="32"/>
          <w:szCs w:val="32"/>
        </w:rPr>
        <w:t>本委办公室401房间为政府信息公开工作查询与接待室，</w:t>
      </w:r>
      <w:r>
        <w:rPr>
          <w:rFonts w:hint="eastAsia" w:ascii="仿宋_GB2312" w:hAnsi="宋体" w:eastAsia="仿宋_GB2312" w:cs="宋体"/>
          <w:color w:val="000000"/>
          <w:kern w:val="0"/>
          <w:sz w:val="32"/>
          <w:szCs w:val="32"/>
        </w:rPr>
        <w:t>放置了大兴区旅游委信息公开指南，查阅场所配备了便民服务设施，制定了服务标准、工作准则等规章制度，方便了广大群众查询相关信息并对我们的工作进行有效的监督。</w:t>
      </w:r>
    </w:p>
    <w:p>
      <w:pPr>
        <w:widowControl/>
        <w:spacing w:before="312" w:beforeLines="100" w:after="312" w:afterLines="100" w:line="560" w:lineRule="exact"/>
        <w:jc w:val="center"/>
        <w:outlineLvl w:val="0"/>
        <w:rPr>
          <w:rFonts w:hint="eastAsia" w:ascii="黑体" w:hAnsi="宋体" w:eastAsia="黑体" w:cs="宋体"/>
          <w:kern w:val="0"/>
          <w:sz w:val="32"/>
          <w:szCs w:val="32"/>
        </w:rPr>
      </w:pPr>
    </w:p>
    <w:p>
      <w:pPr>
        <w:widowControl/>
        <w:spacing w:before="312" w:beforeLines="100" w:after="312" w:afterLines="100" w:line="560" w:lineRule="exact"/>
        <w:jc w:val="center"/>
        <w:outlineLvl w:val="0"/>
        <w:rPr>
          <w:rFonts w:ascii="黑体" w:hAnsi="宋体" w:eastAsia="黑体" w:cs="宋体"/>
          <w:kern w:val="0"/>
          <w:sz w:val="32"/>
          <w:szCs w:val="32"/>
        </w:rPr>
      </w:pPr>
      <w:r>
        <w:rPr>
          <w:rFonts w:hint="eastAsia" w:ascii="黑体" w:hAnsi="宋体" w:eastAsia="黑体" w:cs="宋体"/>
          <w:kern w:val="0"/>
          <w:sz w:val="32"/>
          <w:szCs w:val="32"/>
        </w:rPr>
        <w:t>三、依申请公开情况</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按照《条例》第13条规定，</w:t>
      </w:r>
      <w:r>
        <w:rPr>
          <w:rFonts w:hint="eastAsia" w:ascii="仿宋_GB2312" w:hAnsi="华文中宋" w:eastAsia="仿宋_GB2312"/>
          <w:sz w:val="32"/>
          <w:szCs w:val="32"/>
        </w:rPr>
        <w:t>本</w:t>
      </w:r>
      <w:r>
        <w:rPr>
          <w:rFonts w:hint="eastAsia" w:ascii="仿宋_GB2312" w:hAnsi="华文中宋" w:eastAsia="仿宋_GB2312"/>
          <w:sz w:val="32"/>
          <w:szCs w:val="32"/>
          <w:lang w:eastAsia="zh-CN"/>
        </w:rPr>
        <w:t>委</w:t>
      </w:r>
      <w:r>
        <w:rPr>
          <w:rFonts w:hint="eastAsia" w:ascii="仿宋_GB2312" w:hAnsi="宋体" w:eastAsia="仿宋_GB2312" w:cs="宋体"/>
          <w:kern w:val="0"/>
          <w:sz w:val="32"/>
          <w:szCs w:val="32"/>
        </w:rPr>
        <w:t>自《条例》实施之日起正式受理</w:t>
      </w:r>
      <w:r>
        <w:rPr>
          <w:rFonts w:hint="eastAsia" w:ascii="仿宋_GB2312" w:hAnsi="华文中宋" w:eastAsia="仿宋_GB2312"/>
          <w:sz w:val="32"/>
          <w:szCs w:val="32"/>
        </w:rPr>
        <w:t>公民、法人或者其他组织根据自身生产、生活、科研等特殊需要提出的政府信息公开申请。为落实《条例》确定的政府信息依申请公开制度，本</w:t>
      </w:r>
      <w:r>
        <w:rPr>
          <w:rFonts w:hint="eastAsia" w:ascii="仿宋_GB2312" w:hAnsi="宋体" w:eastAsia="仿宋_GB2312"/>
          <w:i w:val="0"/>
          <w:iCs/>
          <w:color w:val="000000"/>
          <w:sz w:val="32"/>
          <w:szCs w:val="32"/>
          <w:lang w:eastAsia="zh-CN"/>
        </w:rPr>
        <w:t>委</w:t>
      </w:r>
      <w:r>
        <w:rPr>
          <w:rFonts w:hint="eastAsia" w:ascii="仿宋_GB2312" w:hAnsi="宋体" w:eastAsia="仿宋_GB2312" w:cs="宋体"/>
          <w:kern w:val="0"/>
          <w:sz w:val="32"/>
          <w:szCs w:val="32"/>
        </w:rPr>
        <w:t>继续完善政府信息公开申请受理场所，并公布政府信息公开受理机构的联系方式。</w:t>
      </w:r>
    </w:p>
    <w:p>
      <w:pPr>
        <w:widowControl/>
        <w:numPr>
          <w:ilvl w:val="0"/>
          <w:numId w:val="2"/>
        </w:numPr>
        <w:spacing w:line="560" w:lineRule="exact"/>
        <w:ind w:firstLine="643" w:firstLineChars="200"/>
        <w:rPr>
          <w:rFonts w:hint="eastAsia" w:ascii="楷体_GB2312" w:hAnsi="宋体" w:eastAsia="楷体_GB2312" w:cs="宋体"/>
          <w:b/>
          <w:kern w:val="0"/>
          <w:sz w:val="32"/>
          <w:szCs w:val="32"/>
        </w:rPr>
      </w:pPr>
      <w:r>
        <w:rPr>
          <w:rFonts w:hint="eastAsia" w:ascii="楷体_GB2312" w:hAnsi="宋体" w:eastAsia="楷体_GB2312" w:cs="宋体"/>
          <w:b/>
          <w:kern w:val="0"/>
          <w:sz w:val="32"/>
          <w:szCs w:val="32"/>
        </w:rPr>
        <w:t>申请情况</w:t>
      </w:r>
    </w:p>
    <w:p>
      <w:pPr>
        <w:widowControl/>
        <w:numPr>
          <w:numId w:val="0"/>
        </w:numPr>
        <w:spacing w:line="560" w:lineRule="exact"/>
        <w:rPr>
          <w:rFonts w:hint="eastAsia" w:ascii="楷体_GB2312" w:hAnsi="宋体" w:eastAsia="楷体_GB2312" w:cs="宋体"/>
          <w:b w:val="0"/>
          <w:bCs/>
          <w:kern w:val="0"/>
          <w:sz w:val="32"/>
          <w:szCs w:val="32"/>
          <w:lang w:val="en-US" w:eastAsia="zh-CN"/>
        </w:rPr>
      </w:pPr>
      <w:r>
        <w:rPr>
          <w:rFonts w:hint="eastAsia" w:ascii="楷体_GB2312" w:hAnsi="宋体" w:eastAsia="楷体_GB2312" w:cs="宋体"/>
          <w:b w:val="0"/>
          <w:bCs/>
          <w:kern w:val="0"/>
          <w:sz w:val="32"/>
          <w:szCs w:val="32"/>
          <w:lang w:val="en-US" w:eastAsia="zh-CN"/>
        </w:rPr>
        <w:t>2015年度，本委未接到政府信息公开申请。</w:t>
      </w:r>
    </w:p>
    <w:p>
      <w:pPr>
        <w:widowControl/>
        <w:spacing w:line="560" w:lineRule="exact"/>
        <w:ind w:firstLine="643" w:firstLineChars="200"/>
        <w:rPr>
          <w:rFonts w:ascii="楷体_GB2312" w:hAnsi="宋体" w:eastAsia="楷体_GB2312" w:cs="宋体"/>
          <w:b/>
          <w:kern w:val="0"/>
          <w:sz w:val="32"/>
          <w:szCs w:val="32"/>
        </w:rPr>
      </w:pPr>
      <w:r>
        <w:rPr>
          <w:rFonts w:hint="eastAsia" w:ascii="楷体_GB2312" w:hAnsi="宋体" w:eastAsia="楷体_GB2312" w:cs="宋体"/>
          <w:b/>
          <w:kern w:val="0"/>
          <w:sz w:val="32"/>
          <w:szCs w:val="32"/>
        </w:rPr>
        <w:t>（二）答复情况</w:t>
      </w:r>
    </w:p>
    <w:p>
      <w:pPr>
        <w:widowControl/>
        <w:numPr>
          <w:numId w:val="0"/>
        </w:numPr>
        <w:spacing w:line="560" w:lineRule="exact"/>
        <w:rPr>
          <w:rFonts w:hint="eastAsia" w:ascii="楷体_GB2312" w:hAnsi="宋体" w:eastAsia="楷体_GB2312" w:cs="宋体"/>
          <w:b w:val="0"/>
          <w:bCs/>
          <w:kern w:val="0"/>
          <w:sz w:val="32"/>
          <w:szCs w:val="32"/>
          <w:lang w:val="en-US" w:eastAsia="zh-CN"/>
        </w:rPr>
      </w:pPr>
      <w:r>
        <w:rPr>
          <w:rFonts w:hint="eastAsia" w:ascii="楷体_GB2312" w:hAnsi="宋体" w:eastAsia="楷体_GB2312" w:cs="宋体"/>
          <w:b w:val="0"/>
          <w:bCs/>
          <w:kern w:val="0"/>
          <w:sz w:val="32"/>
          <w:szCs w:val="32"/>
          <w:lang w:val="en-US" w:eastAsia="zh-CN"/>
        </w:rPr>
        <w:t>2015年度，本委未接到政府信息公开申请，无答复内容。</w:t>
      </w:r>
    </w:p>
    <w:p>
      <w:pPr>
        <w:widowControl/>
        <w:spacing w:before="312" w:beforeLines="100" w:after="312" w:afterLines="100" w:line="560" w:lineRule="exact"/>
        <w:jc w:val="center"/>
        <w:outlineLvl w:val="0"/>
        <w:rPr>
          <w:rFonts w:ascii="黑体" w:hAnsi="宋体" w:eastAsia="黑体" w:cs="宋体"/>
          <w:kern w:val="0"/>
          <w:sz w:val="32"/>
          <w:szCs w:val="32"/>
        </w:rPr>
      </w:pPr>
      <w:r>
        <w:rPr>
          <w:rFonts w:hint="eastAsia" w:ascii="黑体" w:hAnsi="宋体" w:eastAsia="黑体" w:cs="宋体"/>
          <w:kern w:val="0"/>
          <w:sz w:val="32"/>
          <w:szCs w:val="32"/>
        </w:rPr>
        <w:t>四、复议和诉讼情况</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lang w:val="en-US" w:eastAsia="zh-CN"/>
        </w:rPr>
        <w:t>2015年，本委无行政复议和行政诉讼情况。</w:t>
      </w:r>
    </w:p>
    <w:p>
      <w:pPr>
        <w:widowControl/>
        <w:spacing w:before="312" w:beforeLines="100" w:after="312" w:afterLines="100" w:line="560" w:lineRule="exact"/>
        <w:jc w:val="center"/>
        <w:outlineLvl w:val="0"/>
        <w:rPr>
          <w:rFonts w:ascii="黑体" w:hAnsi="宋体" w:eastAsia="黑体" w:cs="宋体"/>
          <w:kern w:val="0"/>
          <w:sz w:val="32"/>
          <w:szCs w:val="32"/>
        </w:rPr>
      </w:pPr>
      <w:r>
        <w:rPr>
          <w:rFonts w:hint="eastAsia" w:ascii="黑体" w:hAnsi="宋体" w:eastAsia="黑体" w:cs="宋体"/>
          <w:kern w:val="0"/>
          <w:sz w:val="32"/>
          <w:szCs w:val="32"/>
        </w:rPr>
        <w:t>五、存在的不足及改进措施</w:t>
      </w:r>
    </w:p>
    <w:p>
      <w:pPr>
        <w:widowControl/>
        <w:spacing w:line="560" w:lineRule="exact"/>
        <w:ind w:firstLine="640" w:firstLineChars="200"/>
        <w:rPr>
          <w:rFonts w:hint="eastAsia" w:ascii="仿宋_GB2312" w:hAnsi="宋体" w:eastAsia="仿宋_GB2312" w:cs="宋体"/>
          <w:b/>
          <w:color w:val="000000"/>
          <w:kern w:val="0"/>
          <w:sz w:val="32"/>
          <w:szCs w:val="32"/>
        </w:rPr>
      </w:pPr>
      <w:r>
        <w:rPr>
          <w:rFonts w:hint="eastAsia" w:ascii="仿宋_GB2312" w:hAnsi="Arial" w:eastAsia="仿宋_GB2312" w:cs="Arial"/>
          <w:sz w:val="32"/>
          <w:szCs w:val="32"/>
        </w:rPr>
        <w:t>201</w:t>
      </w:r>
      <w:r>
        <w:rPr>
          <w:rFonts w:hint="eastAsia" w:ascii="仿宋_GB2312" w:hAnsi="Arial" w:eastAsia="仿宋_GB2312" w:cs="Arial"/>
          <w:sz w:val="32"/>
          <w:szCs w:val="32"/>
          <w:lang w:val="en-US" w:eastAsia="zh-CN"/>
        </w:rPr>
        <w:t>5</w:t>
      </w:r>
      <w:r>
        <w:rPr>
          <w:rFonts w:hint="eastAsia" w:ascii="仿宋_GB2312" w:hAnsi="Arial" w:eastAsia="仿宋_GB2312" w:cs="Arial"/>
          <w:sz w:val="32"/>
          <w:szCs w:val="32"/>
        </w:rPr>
        <w:t>年，本委按照《条例》总体要求开展各项工作，但存在以下不足：主动公开的意识还不强；公开内容还不够全面；时效性仍需进一步提高；</w:t>
      </w:r>
      <w:r>
        <w:rPr>
          <w:rFonts w:hint="eastAsia" w:ascii="仿宋_GB2312" w:eastAsia="仿宋_GB2312"/>
          <w:color w:val="000000"/>
          <w:sz w:val="32"/>
          <w:szCs w:val="32"/>
        </w:rPr>
        <w:t>结合工作中存在问题和不足，下步将从以下几个方面进行改进：</w:t>
      </w:r>
      <w:r>
        <w:rPr>
          <w:rFonts w:hint="eastAsia" w:ascii="仿宋_GB2312" w:hAnsi="宋体" w:eastAsia="仿宋_GB2312" w:cs="宋体"/>
          <w:b/>
          <w:color w:val="000000"/>
          <w:kern w:val="0"/>
          <w:sz w:val="32"/>
          <w:szCs w:val="32"/>
        </w:rPr>
        <w:t xml:space="preserve"> </w:t>
      </w:r>
    </w:p>
    <w:p>
      <w:pPr>
        <w:widowControl/>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一是进一步加大政府信息公开工作的力度。扎实做好政府信息公开工作，</w:t>
      </w:r>
      <w:r>
        <w:rPr>
          <w:rFonts w:hint="eastAsia" w:ascii="仿宋_GB2312" w:hAnsi="仿宋_GB2312" w:eastAsia="仿宋_GB2312" w:cs="仿宋_GB2312"/>
          <w:sz w:val="32"/>
          <w:szCs w:val="32"/>
        </w:rPr>
        <w:t>有针对性的开展工作，广泛听取群众的意见和建议，把人民群众普遍关心、涉及群众利益的政府信息作为政府信息公开工作的重点内容和主攻方向</w:t>
      </w:r>
      <w:r>
        <w:rPr>
          <w:rFonts w:hint="eastAsia" w:ascii="仿宋_GB2312" w:eastAsia="仿宋_GB2312"/>
          <w:sz w:val="32"/>
          <w:szCs w:val="32"/>
        </w:rPr>
        <w:t>，真正做到让人民群众知情，让人民群众来监督，保障广大群众的民主权利，不断提高旅游委工作的透明度。</w:t>
      </w:r>
    </w:p>
    <w:p>
      <w:pPr>
        <w:ind w:firstLine="640" w:firstLineChars="200"/>
        <w:rPr>
          <w:rFonts w:hint="eastAsia" w:ascii="仿宋_GB2312" w:eastAsia="仿宋_GB2312"/>
          <w:sz w:val="32"/>
          <w:szCs w:val="32"/>
        </w:rPr>
      </w:pPr>
      <w:r>
        <w:rPr>
          <w:rFonts w:hint="eastAsia" w:ascii="仿宋_GB2312" w:eastAsia="仿宋_GB2312"/>
          <w:sz w:val="32"/>
          <w:szCs w:val="32"/>
        </w:rPr>
        <w:t>二是认真梳理，逐步扩大公开内容。按照已“公开为原则，不公开为例外”的总体要求，进一步梳理政府信息，做好公开和免予公开两类政府信息的界定，并对原有的政府信息公开目录进行补充完善，保证公开信息的完整性和准确性。</w:t>
      </w:r>
    </w:p>
    <w:p>
      <w:pPr>
        <w:widowControl/>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宋体" w:eastAsia="仿宋_GB2312" w:cs="宋体"/>
          <w:color w:val="000000"/>
          <w:kern w:val="0"/>
          <w:sz w:val="32"/>
          <w:szCs w:val="32"/>
        </w:rPr>
        <w:t>三</w:t>
      </w:r>
      <w:r>
        <w:rPr>
          <w:rFonts w:hint="eastAsia" w:ascii="仿宋_GB2312" w:hAnsi="仿宋_GB2312" w:eastAsia="仿宋_GB2312" w:cs="仿宋_GB2312"/>
          <w:sz w:val="32"/>
          <w:szCs w:val="32"/>
        </w:rPr>
        <w:t xml:space="preserve">加大工作创新力度，不断拓宽政府信息公开渠道。努力探索信息公开的新路子、新途径，开展多种形式的信息公开方式，拓展公开渠道，更好的为企事业单位及个人服务。 </w:t>
      </w:r>
    </w:p>
    <w:p>
      <w:pPr>
        <w:widowControl/>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宋体" w:eastAsia="仿宋_GB2312" w:cs="宋体"/>
          <w:color w:val="000000"/>
          <w:kern w:val="0"/>
          <w:sz w:val="32"/>
          <w:szCs w:val="32"/>
        </w:rPr>
        <w:t>四是完善长效工作机制。进一步完善政府信息公开制度，确保政府信息公开工作制度化、规范化发展，深入、持</w:t>
      </w:r>
    </w:p>
    <w:p>
      <w:pPr>
        <w:widowControl/>
        <w:spacing w:line="560" w:lineRule="exact"/>
        <w:jc w:val="left"/>
        <w:rPr>
          <w:rFonts w:hint="eastAsia" w:ascii="仿宋_GB2312" w:hAnsi="仿宋_GB2312" w:eastAsia="仿宋_GB2312" w:cs="仿宋_GB2312"/>
          <w:sz w:val="32"/>
          <w:szCs w:val="32"/>
        </w:rPr>
      </w:pPr>
      <w:r>
        <w:rPr>
          <w:rFonts w:hint="eastAsia" w:ascii="仿宋_GB2312" w:hAnsi="宋体" w:eastAsia="仿宋_GB2312" w:cs="宋体"/>
          <w:color w:val="000000"/>
          <w:kern w:val="0"/>
          <w:sz w:val="32"/>
          <w:szCs w:val="32"/>
        </w:rPr>
        <w:t>续、高效地开展政府信息公开工作。</w:t>
      </w:r>
    </w:p>
    <w:p>
      <w:pPr>
        <w:widowControl/>
        <w:spacing w:line="560" w:lineRule="exact"/>
        <w:ind w:firstLine="640" w:firstLineChars="200"/>
        <w:rPr>
          <w:rFonts w:hint="eastAsia" w:ascii="仿宋_GB2312" w:hAnsi="华文中宋" w:eastAsia="仿宋_GB2312"/>
          <w:sz w:val="32"/>
          <w:szCs w:val="32"/>
        </w:rPr>
      </w:pPr>
      <w:r>
        <w:rPr>
          <w:rFonts w:hint="eastAsia" w:ascii="仿宋_GB2312" w:hAnsi="Arial" w:eastAsia="仿宋_GB2312" w:cs="Arial"/>
          <w:sz w:val="32"/>
          <w:szCs w:val="32"/>
        </w:rPr>
        <w:t>五是加强人员培训，提高业务水平。我委将加强相关人员业务培训，提高工作能力和业务水平，丰富信息公开内容、提高信息质量，使公众获取方便、及时的服务。</w:t>
      </w:r>
    </w:p>
    <w:p>
      <w:pPr>
        <w:widowControl/>
        <w:spacing w:line="560" w:lineRule="exact"/>
        <w:ind w:firstLine="640" w:firstLineChars="200"/>
        <w:rPr>
          <w:rFonts w:hint="eastAsia" w:ascii="仿宋_GB2312" w:hAnsi="华文中宋" w:eastAsia="仿宋_GB2312"/>
          <w:sz w:val="32"/>
          <w:szCs w:val="32"/>
        </w:rPr>
      </w:pPr>
    </w:p>
    <w:p>
      <w:pPr>
        <w:spacing w:line="560" w:lineRule="exact"/>
        <w:ind w:firstLine="640" w:firstLineChars="200"/>
        <w:rPr>
          <w:rFonts w:ascii="仿宋_GB2312" w:hAnsi="仿宋" w:eastAsia="仿宋_GB2312"/>
          <w:sz w:val="32"/>
          <w:szCs w:val="32"/>
        </w:rPr>
      </w:pPr>
    </w:p>
    <w:p>
      <w:pPr>
        <w:spacing w:line="560" w:lineRule="exact"/>
        <w:ind w:firstLine="640" w:firstLineChars="200"/>
        <w:rPr>
          <w:rFonts w:hint="eastAsia" w:ascii="仿宋_GB2312" w:hAnsi="仿宋" w:eastAsia="仿宋_GB2312"/>
          <w:sz w:val="32"/>
          <w:szCs w:val="32"/>
        </w:rPr>
      </w:pPr>
    </w:p>
    <w:p>
      <w:pPr>
        <w:widowControl/>
        <w:spacing w:line="560" w:lineRule="exact"/>
        <w:ind w:left="3599" w:leftChars="1714"/>
        <w:rPr>
          <w:rFonts w:hint="eastAsia" w:ascii="仿宋_GB2312" w:hAnsi="宋体" w:eastAsia="仿宋_GB2312" w:cs="宋体"/>
          <w:kern w:val="0"/>
          <w:sz w:val="32"/>
          <w:szCs w:val="32"/>
        </w:rPr>
      </w:pPr>
      <w:r>
        <w:rPr>
          <w:rFonts w:hint="eastAsia" w:ascii="仿宋_GB2312" w:hAnsi="宋体" w:eastAsia="仿宋_GB2312" w:cs="宋体"/>
          <w:kern w:val="0"/>
          <w:sz w:val="32"/>
          <w:szCs w:val="32"/>
        </w:rPr>
        <w:t>北京市大兴区</w:t>
      </w:r>
      <w:r>
        <w:rPr>
          <w:rFonts w:hint="eastAsia" w:ascii="仿宋_GB2312" w:hAnsi="宋体" w:eastAsia="仿宋_GB2312" w:cs="宋体"/>
          <w:kern w:val="0"/>
          <w:sz w:val="32"/>
          <w:szCs w:val="32"/>
          <w:lang w:eastAsia="zh-CN"/>
        </w:rPr>
        <w:t>旅游发展委员会</w:t>
      </w:r>
    </w:p>
    <w:p>
      <w:pPr>
        <w:widowControl/>
        <w:spacing w:line="560" w:lineRule="exact"/>
        <w:ind w:left="4469" w:leftChars="2128" w:right="800"/>
        <w:jc w:val="both"/>
        <w:rPr>
          <w:rFonts w:ascii="仿宋_GB2312" w:hAnsi="宋体" w:eastAsia="仿宋_GB2312" w:cs="宋体"/>
          <w:kern w:val="0"/>
          <w:sz w:val="32"/>
          <w:szCs w:val="32"/>
        </w:rPr>
      </w:pPr>
      <w:r>
        <w:rPr>
          <w:rFonts w:hint="eastAsia" w:ascii="仿宋_GB2312" w:hAnsi="宋体" w:eastAsia="仿宋_GB2312" w:cs="宋体"/>
          <w:kern w:val="0"/>
          <w:sz w:val="32"/>
          <w:szCs w:val="32"/>
        </w:rPr>
        <w:t>二</w:t>
      </w:r>
      <w:r>
        <w:rPr>
          <w:rFonts w:hint="eastAsia" w:ascii="宋体" w:hAnsi="宋体" w:cs="宋体"/>
          <w:kern w:val="0"/>
          <w:sz w:val="32"/>
          <w:szCs w:val="32"/>
        </w:rPr>
        <w:t>〇</w:t>
      </w:r>
      <w:r>
        <w:rPr>
          <w:rFonts w:hint="eastAsia" w:ascii="仿宋_GB2312" w:hAnsi="仿宋_GB2312" w:eastAsia="仿宋_GB2312" w:cs="仿宋_GB2312"/>
          <w:kern w:val="0"/>
          <w:sz w:val="32"/>
          <w:szCs w:val="32"/>
        </w:rPr>
        <w:t>一五年</w:t>
      </w:r>
      <w:r>
        <w:rPr>
          <w:rFonts w:hint="eastAsia" w:ascii="仿宋_GB2312" w:hAnsi="宋体" w:eastAsia="仿宋_GB2312" w:cs="宋体"/>
          <w:kern w:val="0"/>
          <w:sz w:val="32"/>
          <w:szCs w:val="32"/>
        </w:rPr>
        <w:t>三月</w:t>
      </w:r>
    </w:p>
    <w:p>
      <w:pPr>
        <w:spacing w:line="560" w:lineRule="exact"/>
        <w:ind w:firstLine="640" w:firstLineChars="200"/>
        <w:rPr>
          <w:rFonts w:hint="eastAsia" w:ascii="黑体" w:hAnsi="仿宋_GB2312" w:eastAsia="黑体"/>
          <w:color w:val="000000"/>
          <w:sz w:val="32"/>
          <w:szCs w:val="32"/>
        </w:rPr>
      </w:pPr>
      <w:r>
        <w:rPr>
          <w:rFonts w:ascii="仿宋_GB2312" w:hAnsi="宋体" w:eastAsia="仿宋_GB2312" w:cs="宋体"/>
          <w:kern w:val="0"/>
          <w:sz w:val="32"/>
          <w:szCs w:val="32"/>
        </w:rPr>
        <w:br w:type="page"/>
      </w:r>
      <w:r>
        <w:rPr>
          <w:rFonts w:hint="eastAsia" w:ascii="黑体" w:eastAsia="黑体" w:cs="仿宋_GB2312"/>
          <w:sz w:val="32"/>
          <w:szCs w:val="32"/>
        </w:rPr>
        <w:t>附表：</w:t>
      </w:r>
    </w:p>
    <w:tbl>
      <w:tblPr>
        <w:tblStyle w:val="10"/>
        <w:tblW w:w="955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755"/>
        <w:gridCol w:w="720"/>
        <w:gridCol w:w="1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0" w:hRule="atLeast"/>
          <w:jc w:val="center"/>
        </w:trPr>
        <w:tc>
          <w:tcPr>
            <w:tcW w:w="9555" w:type="dxa"/>
            <w:gridSpan w:val="3"/>
            <w:tcBorders>
              <w:top w:val="nil"/>
              <w:left w:val="nil"/>
              <w:bottom w:val="nil"/>
              <w:right w:val="nil"/>
            </w:tcBorders>
            <w:shd w:val="clear" w:color="FFFFFF" w:fill="auto"/>
            <w:vAlign w:val="center"/>
          </w:tcPr>
          <w:p>
            <w:pPr>
              <w:widowControl/>
              <w:jc w:val="center"/>
              <w:rPr>
                <w:rFonts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rPr>
              <w:t>政府信息公开情况统计表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5" w:hRule="atLeast"/>
          <w:jc w:val="center"/>
        </w:trPr>
        <w:tc>
          <w:tcPr>
            <w:tcW w:w="9555" w:type="dxa"/>
            <w:gridSpan w:val="3"/>
            <w:tcBorders>
              <w:top w:val="nil"/>
              <w:left w:val="nil"/>
              <w:bottom w:val="nil"/>
              <w:right w:val="nil"/>
            </w:tcBorders>
            <w:shd w:val="clear" w:color="FFFFFF" w:fill="auto"/>
            <w:vAlign w:val="center"/>
          </w:tcPr>
          <w:p>
            <w:pPr>
              <w:widowControl/>
              <w:jc w:val="center"/>
              <w:rPr>
                <w:rFonts w:ascii="楷体_GB2312" w:hAnsi="宋体" w:eastAsia="楷体_GB2312" w:cs="宋体"/>
                <w:kern w:val="0"/>
                <w:sz w:val="32"/>
                <w:szCs w:val="32"/>
              </w:rPr>
            </w:pPr>
            <w:r>
              <w:rPr>
                <w:rFonts w:hint="eastAsia" w:ascii="楷体_GB2312" w:hAnsi="宋体" w:eastAsia="楷体_GB2312" w:cs="宋体"/>
                <w:kern w:val="0"/>
                <w:sz w:val="32"/>
                <w:szCs w:val="32"/>
              </w:rPr>
              <w:t>（2015年度）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single" w:color="auto" w:sz="8" w:space="0"/>
              <w:left w:val="single" w:color="auto" w:sz="8" w:space="0"/>
              <w:bottom w:val="single" w:color="auto" w:sz="4" w:space="0"/>
              <w:right w:val="single" w:color="auto" w:sz="4" w:space="0"/>
            </w:tcBorders>
            <w:vAlign w:val="center"/>
          </w:tcPr>
          <w:p>
            <w:pPr>
              <w:widowControl/>
              <w:jc w:val="center"/>
              <w:rPr>
                <w:rFonts w:ascii="黑体" w:hAnsi="宋体" w:eastAsia="黑体" w:cs="宋体"/>
                <w:color w:val="000000"/>
                <w:kern w:val="0"/>
                <w:sz w:val="24"/>
              </w:rPr>
            </w:pPr>
            <w:r>
              <w:rPr>
                <w:rFonts w:hint="eastAsia" w:ascii="黑体" w:hAnsi="宋体" w:eastAsia="黑体" w:cs="宋体"/>
                <w:color w:val="000000"/>
                <w:kern w:val="0"/>
                <w:sz w:val="24"/>
              </w:rPr>
              <w:t>统 计 指 标</w:t>
            </w:r>
          </w:p>
        </w:tc>
        <w:tc>
          <w:tcPr>
            <w:tcW w:w="720" w:type="dxa"/>
            <w:tcBorders>
              <w:top w:val="single" w:color="auto" w:sz="8" w:space="0"/>
              <w:left w:val="nil"/>
              <w:bottom w:val="single" w:color="auto" w:sz="4" w:space="0"/>
              <w:right w:val="single" w:color="auto" w:sz="4" w:space="0"/>
            </w:tcBorders>
            <w:vAlign w:val="center"/>
          </w:tcPr>
          <w:p>
            <w:pPr>
              <w:widowControl/>
              <w:jc w:val="center"/>
              <w:rPr>
                <w:rFonts w:ascii="黑体" w:hAnsi="宋体" w:eastAsia="黑体" w:cs="宋体"/>
                <w:color w:val="000000"/>
                <w:kern w:val="0"/>
                <w:sz w:val="24"/>
              </w:rPr>
            </w:pPr>
            <w:r>
              <w:rPr>
                <w:rFonts w:hint="eastAsia" w:ascii="黑体" w:hAnsi="宋体" w:eastAsia="黑体" w:cs="宋体"/>
                <w:color w:val="000000"/>
                <w:kern w:val="0"/>
                <w:sz w:val="24"/>
              </w:rPr>
              <w:t>单位</w:t>
            </w:r>
          </w:p>
        </w:tc>
        <w:tc>
          <w:tcPr>
            <w:tcW w:w="1080" w:type="dxa"/>
            <w:tcBorders>
              <w:top w:val="single" w:color="auto" w:sz="8" w:space="0"/>
              <w:left w:val="nil"/>
              <w:bottom w:val="single" w:color="auto" w:sz="4" w:space="0"/>
              <w:right w:val="single" w:color="auto" w:sz="8" w:space="0"/>
            </w:tcBorders>
            <w:vAlign w:val="center"/>
          </w:tcPr>
          <w:p>
            <w:pPr>
              <w:widowControl/>
              <w:jc w:val="center"/>
              <w:rPr>
                <w:rFonts w:ascii="黑体" w:hAnsi="宋体" w:eastAsia="黑体" w:cs="宋体"/>
                <w:color w:val="000000"/>
                <w:kern w:val="0"/>
                <w:sz w:val="24"/>
              </w:rPr>
            </w:pPr>
            <w:r>
              <w:rPr>
                <w:rFonts w:hint="eastAsia" w:ascii="黑体" w:hAnsi="宋体" w:eastAsia="黑体" w:cs="宋体"/>
                <w:color w:val="000000"/>
                <w:kern w:val="0"/>
                <w:sz w:val="24"/>
              </w:rPr>
              <w:t>统计数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一、主动公开情况</w:t>
            </w:r>
          </w:p>
        </w:tc>
        <w:tc>
          <w:tcPr>
            <w:tcW w:w="720" w:type="dxa"/>
            <w:tcBorders>
              <w:top w:val="nil"/>
              <w:left w:val="nil"/>
              <w:bottom w:val="single" w:color="auto" w:sz="4" w:space="0"/>
              <w:right w:val="single" w:color="auto" w:sz="4" w:space="0"/>
              <w:tr2bl w:val="single" w:color="auto" w:sz="4" w:space="0"/>
            </w:tcBorders>
            <w:vAlign w:val="center"/>
          </w:tcPr>
          <w:p>
            <w:pPr>
              <w:widowControl/>
              <w:jc w:val="center"/>
              <w:rPr>
                <w:rFonts w:ascii="宋体" w:hAnsi="宋体" w:cs="宋体"/>
                <w:color w:val="000000"/>
                <w:kern w:val="0"/>
                <w:sz w:val="24"/>
              </w:rPr>
            </w:pPr>
          </w:p>
        </w:tc>
        <w:tc>
          <w:tcPr>
            <w:tcW w:w="1080" w:type="dxa"/>
            <w:tcBorders>
              <w:top w:val="nil"/>
              <w:left w:val="nil"/>
              <w:bottom w:val="single" w:color="auto" w:sz="4" w:space="0"/>
              <w:right w:val="single" w:color="auto" w:sz="8"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r>
              <w:rPr>
                <w:rFonts w:hint="eastAsia" w:ascii="宋体" w:hAnsi="宋体" w:cs="宋体"/>
                <w:color w:val="000000"/>
                <w:kern w:val="0"/>
                <w:sz w:val="24"/>
                <w:lang w:val="en-US" w:eastAsia="zh-CN"/>
              </w:rPr>
              <w:t>696</w:t>
            </w:r>
            <w:bookmarkStart w:id="0" w:name="_GoBack"/>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0"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（一）主动公开政府信息数</w:t>
            </w:r>
            <w:r>
              <w:rPr>
                <w:rFonts w:hint="eastAsia" w:ascii="仿宋_GB2312" w:hAnsi="宋体" w:eastAsia="仿宋_GB2312" w:cs="宋体"/>
                <w:kern w:val="0"/>
                <w:sz w:val="24"/>
              </w:rPr>
              <w:br/>
            </w:r>
            <w:r>
              <w:rPr>
                <w:rFonts w:hint="eastAsia" w:ascii="仿宋_GB2312" w:hAnsi="宋体" w:eastAsia="仿宋_GB2312" w:cs="宋体"/>
                <w:kern w:val="0"/>
                <w:sz w:val="24"/>
              </w:rPr>
              <w:t xml:space="preserve">       （不同渠道和方式公开相同信息计1条）</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vAlign w:val="center"/>
          </w:tcPr>
          <w:p>
            <w:pPr>
              <w:widowControl/>
              <w:jc w:val="center"/>
              <w:rPr>
                <w:rFonts w:hint="eastAsia" w:eastAsia="宋体"/>
                <w:color w:val="000000"/>
                <w:kern w:val="0"/>
                <w:sz w:val="22"/>
                <w:szCs w:val="22"/>
                <w:lang w:val="en-US" w:eastAsia="zh-CN"/>
              </w:rPr>
            </w:pPr>
            <w:r>
              <w:rPr>
                <w:rFonts w:hint="eastAsia"/>
                <w:color w:val="000000"/>
                <w:kern w:val="0"/>
                <w:sz w:val="22"/>
                <w:szCs w:val="22"/>
                <w:lang w:val="en-US" w:eastAsia="zh-CN"/>
              </w:rPr>
              <w:t>277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其中：主动公开规范性文件数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nil"/>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制发规范性文件总数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0" w:hRule="atLeast"/>
          <w:jc w:val="center"/>
        </w:trPr>
        <w:tc>
          <w:tcPr>
            <w:tcW w:w="7755" w:type="dxa"/>
            <w:tcBorders>
              <w:top w:val="single" w:color="auto" w:sz="4" w:space="0"/>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（二）重点领域公开政府信息数</w:t>
            </w:r>
            <w:r>
              <w:rPr>
                <w:rFonts w:hint="eastAsia" w:ascii="仿宋_GB2312" w:hAnsi="宋体" w:eastAsia="仿宋_GB2312" w:cs="宋体"/>
                <w:kern w:val="0"/>
                <w:sz w:val="24"/>
              </w:rPr>
              <w:br/>
            </w:r>
            <w:r>
              <w:rPr>
                <w:rFonts w:hint="eastAsia" w:ascii="仿宋_GB2312" w:hAnsi="宋体" w:eastAsia="仿宋_GB2312" w:cs="宋体"/>
                <w:kern w:val="0"/>
                <w:sz w:val="24"/>
              </w:rPr>
              <w:t xml:space="preserve">       （不同渠道和方式公开相同信息计1条）</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00" w:hRule="atLeast"/>
          <w:jc w:val="center"/>
        </w:trPr>
        <w:tc>
          <w:tcPr>
            <w:tcW w:w="7755" w:type="dxa"/>
            <w:tcBorders>
              <w:top w:val="single" w:color="auto" w:sz="4" w:space="0"/>
              <w:left w:val="single" w:color="auto" w:sz="4" w:space="0"/>
              <w:bottom w:val="single" w:color="auto" w:sz="4" w:space="0"/>
              <w:right w:val="single" w:color="auto" w:sz="4" w:space="0"/>
            </w:tcBorders>
            <w:vAlign w:val="center"/>
          </w:tcPr>
          <w:p>
            <w:pPr>
              <w:widowControl/>
              <w:ind w:left="1680" w:hanging="1680" w:hangingChars="700"/>
              <w:rPr>
                <w:rFonts w:ascii="仿宋_GB2312" w:hAnsi="宋体" w:eastAsia="仿宋_GB2312" w:cs="宋体"/>
                <w:kern w:val="0"/>
                <w:sz w:val="24"/>
              </w:rPr>
            </w:pPr>
            <w:r>
              <w:rPr>
                <w:rFonts w:hint="eastAsia" w:ascii="仿宋_GB2312" w:hAnsi="宋体" w:eastAsia="仿宋_GB2312" w:cs="宋体"/>
                <w:kern w:val="0"/>
                <w:sz w:val="24"/>
              </w:rPr>
              <w:t xml:space="preserve">        其中：主动公开财政预算决算、“三公经费”和行政经费信息数</w:t>
            </w:r>
          </w:p>
        </w:tc>
        <w:tc>
          <w:tcPr>
            <w:tcW w:w="720" w:type="dxa"/>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5" w:hRule="atLeast"/>
          <w:jc w:val="center"/>
        </w:trPr>
        <w:tc>
          <w:tcPr>
            <w:tcW w:w="7755" w:type="dxa"/>
            <w:tcBorders>
              <w:top w:val="single" w:color="auto" w:sz="4" w:space="0"/>
              <w:left w:val="single" w:color="auto" w:sz="4" w:space="0"/>
              <w:bottom w:val="single" w:color="auto" w:sz="4" w:space="0"/>
              <w:right w:val="single" w:color="auto" w:sz="4" w:space="0"/>
            </w:tcBorders>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主动公开保障性安居工程建设计划、项目开工和竣工情况，保障性住房的分配和退出等信息数</w:t>
            </w:r>
          </w:p>
        </w:tc>
        <w:tc>
          <w:tcPr>
            <w:tcW w:w="720" w:type="dxa"/>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7755" w:type="dxa"/>
            <w:tcBorders>
              <w:top w:val="single" w:color="auto" w:sz="4" w:space="0"/>
              <w:left w:val="single" w:color="auto" w:sz="4" w:space="0"/>
              <w:bottom w:val="single" w:color="auto" w:sz="4" w:space="0"/>
              <w:right w:val="single" w:color="auto" w:sz="4" w:space="0"/>
            </w:tcBorders>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主动公开食品安全标准，食品生产经营许可、专项检查整治等信息数</w:t>
            </w:r>
          </w:p>
        </w:tc>
        <w:tc>
          <w:tcPr>
            <w:tcW w:w="720" w:type="dxa"/>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85" w:hRule="atLeast"/>
          <w:jc w:val="center"/>
        </w:trPr>
        <w:tc>
          <w:tcPr>
            <w:tcW w:w="7755" w:type="dxa"/>
            <w:tcBorders>
              <w:top w:val="single" w:color="auto" w:sz="4" w:space="0"/>
              <w:left w:val="single" w:color="auto" w:sz="4" w:space="0"/>
              <w:bottom w:val="single" w:color="auto" w:sz="4" w:space="0"/>
              <w:right w:val="single" w:color="auto" w:sz="4" w:space="0"/>
            </w:tcBorders>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主动公开环境核查审批、环境状况公报和重特大突发环境事件等信息数</w:t>
            </w:r>
          </w:p>
        </w:tc>
        <w:tc>
          <w:tcPr>
            <w:tcW w:w="720" w:type="dxa"/>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80" w:hRule="atLeast"/>
          <w:jc w:val="center"/>
        </w:trPr>
        <w:tc>
          <w:tcPr>
            <w:tcW w:w="7755" w:type="dxa"/>
            <w:tcBorders>
              <w:top w:val="single" w:color="auto" w:sz="4" w:space="0"/>
              <w:left w:val="single" w:color="auto" w:sz="4" w:space="0"/>
              <w:bottom w:val="single" w:color="auto" w:sz="4" w:space="0"/>
              <w:right w:val="single" w:color="auto" w:sz="4" w:space="0"/>
            </w:tcBorders>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主动公开招投标违法违规行为及处理情况、国有资金占控股或者主导地位依法应当招标的项目等信息数</w:t>
            </w:r>
          </w:p>
        </w:tc>
        <w:tc>
          <w:tcPr>
            <w:tcW w:w="720" w:type="dxa"/>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5" w:hRule="atLeast"/>
          <w:jc w:val="center"/>
        </w:trPr>
        <w:tc>
          <w:tcPr>
            <w:tcW w:w="7755" w:type="dxa"/>
            <w:tcBorders>
              <w:top w:val="single" w:color="auto" w:sz="4" w:space="0"/>
              <w:left w:val="single" w:color="auto" w:sz="4" w:space="0"/>
              <w:bottom w:val="single" w:color="auto" w:sz="4" w:space="0"/>
              <w:right w:val="single" w:color="auto" w:sz="4" w:space="0"/>
            </w:tcBorders>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主动公开生产安全事故的政府举措、处置进展、风险预警、防范措施等信息数</w:t>
            </w:r>
          </w:p>
        </w:tc>
        <w:tc>
          <w:tcPr>
            <w:tcW w:w="720" w:type="dxa"/>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90" w:hRule="atLeast"/>
          <w:jc w:val="center"/>
        </w:trPr>
        <w:tc>
          <w:tcPr>
            <w:tcW w:w="7755" w:type="dxa"/>
            <w:tcBorders>
              <w:top w:val="single" w:color="auto" w:sz="4" w:space="0"/>
              <w:left w:val="single" w:color="auto" w:sz="4" w:space="0"/>
              <w:bottom w:val="single" w:color="auto" w:sz="4" w:space="0"/>
              <w:right w:val="single" w:color="auto" w:sz="4" w:space="0"/>
            </w:tcBorders>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主动公开农用地转为建设用地批准、征收集体土地批准、征地公告、征地补偿安置公示、集体土地征收结案等信息数</w:t>
            </w:r>
          </w:p>
        </w:tc>
        <w:tc>
          <w:tcPr>
            <w:tcW w:w="720" w:type="dxa"/>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20" w:hRule="atLeast"/>
          <w:jc w:val="center"/>
        </w:trPr>
        <w:tc>
          <w:tcPr>
            <w:tcW w:w="7755" w:type="dxa"/>
            <w:tcBorders>
              <w:top w:val="single" w:color="auto" w:sz="4" w:space="0"/>
              <w:left w:val="single" w:color="auto" w:sz="4" w:space="0"/>
              <w:bottom w:val="single" w:color="auto" w:sz="4" w:space="0"/>
              <w:right w:val="single" w:color="auto" w:sz="4" w:space="0"/>
            </w:tcBorders>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主动公开政府指导价、政府定价和收费标准调整的项目、价格、依据、执行时间和范围等信息数</w:t>
            </w:r>
          </w:p>
        </w:tc>
        <w:tc>
          <w:tcPr>
            <w:tcW w:w="720" w:type="dxa"/>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5" w:hRule="atLeast"/>
          <w:jc w:val="center"/>
        </w:trPr>
        <w:tc>
          <w:tcPr>
            <w:tcW w:w="7755" w:type="dxa"/>
            <w:tcBorders>
              <w:top w:val="single" w:color="auto" w:sz="4" w:space="0"/>
              <w:left w:val="single" w:color="auto" w:sz="4" w:space="0"/>
              <w:bottom w:val="single" w:color="auto" w:sz="4" w:space="0"/>
              <w:right w:val="single" w:color="auto" w:sz="4" w:space="0"/>
            </w:tcBorders>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主动公开本市企业信用信息系统中的警示信息和良好信息等信息数</w:t>
            </w:r>
          </w:p>
        </w:tc>
        <w:tc>
          <w:tcPr>
            <w:tcW w:w="720" w:type="dxa"/>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85" w:hRule="atLeast"/>
          <w:jc w:val="center"/>
        </w:trPr>
        <w:tc>
          <w:tcPr>
            <w:tcW w:w="7755"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主动公开政府部门预算执行审计结果等信息数</w:t>
            </w:r>
          </w:p>
        </w:tc>
        <w:tc>
          <w:tcPr>
            <w:tcW w:w="720" w:type="dxa"/>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75" w:hRule="atLeast"/>
          <w:jc w:val="center"/>
        </w:trPr>
        <w:tc>
          <w:tcPr>
            <w:tcW w:w="7755" w:type="dxa"/>
            <w:tcBorders>
              <w:top w:val="single" w:color="auto" w:sz="4" w:space="0"/>
              <w:left w:val="single" w:color="auto" w:sz="4" w:space="0"/>
              <w:bottom w:val="single" w:color="auto" w:sz="4" w:space="0"/>
              <w:right w:val="single" w:color="auto" w:sz="4" w:space="0"/>
            </w:tcBorders>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主动公开行政机关对与人民群众利益密切相关的公共企事业单位进行监督管理的信息数</w:t>
            </w:r>
          </w:p>
        </w:tc>
        <w:tc>
          <w:tcPr>
            <w:tcW w:w="720" w:type="dxa"/>
            <w:tcBorders>
              <w:top w:val="nil"/>
              <w:left w:val="single" w:color="auto" w:sz="4" w:space="0"/>
              <w:bottom w:val="single" w:color="auto" w:sz="8"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8"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5" w:hRule="atLeast"/>
          <w:jc w:val="center"/>
        </w:trPr>
        <w:tc>
          <w:tcPr>
            <w:tcW w:w="7755"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主动公开市人民政府决定主动公开的其他信息数</w:t>
            </w:r>
          </w:p>
        </w:tc>
        <w:tc>
          <w:tcPr>
            <w:tcW w:w="720" w:type="dxa"/>
            <w:tcBorders>
              <w:top w:val="single" w:color="auto" w:sz="8" w:space="0"/>
              <w:left w:val="single" w:color="auto" w:sz="4" w:space="0"/>
              <w:bottom w:val="single" w:color="auto" w:sz="8" w:space="0"/>
              <w:right w:val="single" w:color="auto" w:sz="8"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single" w:color="auto" w:sz="8" w:space="0"/>
              <w:left w:val="single" w:color="auto" w:sz="8" w:space="0"/>
              <w:bottom w:val="single" w:color="auto" w:sz="8"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（三）通过不同渠道和方式公开政府信息的情况</w:t>
            </w:r>
          </w:p>
        </w:tc>
        <w:tc>
          <w:tcPr>
            <w:tcW w:w="720" w:type="dxa"/>
            <w:tcBorders>
              <w:top w:val="single" w:color="auto" w:sz="8" w:space="0"/>
              <w:left w:val="nil"/>
              <w:bottom w:val="single" w:color="auto" w:sz="4" w:space="0"/>
              <w:right w:val="single" w:color="auto" w:sz="4" w:space="0"/>
              <w:tr2bl w:val="single" w:color="auto" w:sz="4" w:space="0"/>
            </w:tcBorders>
            <w:vAlign w:val="center"/>
          </w:tcPr>
          <w:p>
            <w:pPr>
              <w:widowControl/>
              <w:jc w:val="center"/>
              <w:rPr>
                <w:rFonts w:ascii="仿宋_GB2312" w:hAnsi="宋体" w:eastAsia="仿宋_GB2312" w:cs="宋体"/>
                <w:kern w:val="0"/>
                <w:sz w:val="24"/>
              </w:rPr>
            </w:pPr>
          </w:p>
        </w:tc>
        <w:tc>
          <w:tcPr>
            <w:tcW w:w="1080" w:type="dxa"/>
            <w:tcBorders>
              <w:top w:val="single" w:color="auto" w:sz="8" w:space="0"/>
              <w:left w:val="nil"/>
              <w:bottom w:val="single" w:color="auto" w:sz="4" w:space="0"/>
              <w:right w:val="single" w:color="auto" w:sz="8" w:space="0"/>
            </w:tcBorders>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419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1.政府公报公开政府信息数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vAlign w:val="center"/>
          </w:tcPr>
          <w:p>
            <w:pPr>
              <w:jc w:val="center"/>
              <w:rPr>
                <w:rFonts w:hint="eastAsia" w:eastAsia="宋体"/>
                <w:color w:val="000000"/>
                <w:sz w:val="22"/>
                <w:szCs w:val="22"/>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2.政府网站公开政府信息数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339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3.政务微博公开政府信息数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4.政务微信公开政府信息数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5.其他方式公开政府信息数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二、回应解读情况</w:t>
            </w:r>
          </w:p>
        </w:tc>
        <w:tc>
          <w:tcPr>
            <w:tcW w:w="720" w:type="dxa"/>
            <w:tcBorders>
              <w:top w:val="nil"/>
              <w:left w:val="nil"/>
              <w:bottom w:val="single" w:color="auto" w:sz="4" w:space="0"/>
              <w:right w:val="single" w:color="auto" w:sz="4" w:space="0"/>
              <w:tr2bl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0" w:hRule="atLeast"/>
          <w:jc w:val="center"/>
        </w:trPr>
        <w:tc>
          <w:tcPr>
            <w:tcW w:w="7755"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（一）回应公众关注热点或重大舆情数</w:t>
            </w:r>
            <w:r>
              <w:rPr>
                <w:rFonts w:hint="eastAsia" w:ascii="仿宋_GB2312" w:hAnsi="宋体" w:eastAsia="仿宋_GB2312" w:cs="宋体"/>
                <w:kern w:val="0"/>
                <w:sz w:val="24"/>
              </w:rPr>
              <w:br/>
            </w:r>
            <w:r>
              <w:rPr>
                <w:rFonts w:hint="eastAsia" w:ascii="仿宋_GB2312" w:hAnsi="宋体" w:eastAsia="仿宋_GB2312" w:cs="宋体"/>
                <w:kern w:val="0"/>
                <w:sz w:val="24"/>
              </w:rPr>
              <w:t xml:space="preserve">         （不同方式回应同一热点或舆情计1次）</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（二）通过不同渠道和方式回应解读的情况</w:t>
            </w:r>
          </w:p>
        </w:tc>
        <w:tc>
          <w:tcPr>
            <w:tcW w:w="720" w:type="dxa"/>
            <w:tcBorders>
              <w:top w:val="nil"/>
              <w:left w:val="nil"/>
              <w:bottom w:val="single" w:color="auto" w:sz="4" w:space="0"/>
              <w:right w:val="single" w:color="auto" w:sz="4" w:space="0"/>
              <w:tr2bl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1.参加或举办新闻发布会总次数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其中：主要负责同志参加新闻发布会次数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2.政府网站在线访谈次数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其中：主要负责同志参加政府网站在线访谈次数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3.政策解读稿件发布数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篇</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4.微博微信回应事件数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5.其他方式回应事件数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三、依申请公开情况</w:t>
            </w:r>
          </w:p>
        </w:tc>
        <w:tc>
          <w:tcPr>
            <w:tcW w:w="720" w:type="dxa"/>
            <w:tcBorders>
              <w:top w:val="nil"/>
              <w:left w:val="nil"/>
              <w:bottom w:val="single" w:color="auto" w:sz="4" w:space="0"/>
              <w:right w:val="single" w:color="auto" w:sz="4" w:space="0"/>
              <w:tr2bl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（一）收到申请数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vAlign w:val="center"/>
          </w:tcPr>
          <w:p>
            <w:pPr>
              <w:widowControl/>
              <w:jc w:val="center"/>
              <w:rPr>
                <w:color w:val="000000"/>
                <w:kern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1.当面申请数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2.传真申请数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3.网络申请数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4.信函申请数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（二）申请办结数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1.按时办结数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2.延期办结数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（三）申请答复数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1.属于已主动公开范围数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2.同意公开答复数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3.同意部分公开答复数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4.不同意公开答复数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其中：涉及国家秘密</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涉及商业秘密</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涉及个人隐私</w:t>
            </w:r>
          </w:p>
        </w:tc>
        <w:tc>
          <w:tcPr>
            <w:tcW w:w="720"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single" w:color="auto" w:sz="4" w:space="0"/>
              <w:left w:val="nil"/>
              <w:bottom w:val="single" w:color="auto" w:sz="4" w:space="0"/>
              <w:right w:val="single" w:color="auto" w:sz="4"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ind w:left="2400" w:hanging="2400" w:hangingChars="1000"/>
              <w:jc w:val="left"/>
              <w:rPr>
                <w:rFonts w:ascii="仿宋_GB2312" w:hAnsi="宋体" w:eastAsia="仿宋_GB2312" w:cs="宋体"/>
                <w:kern w:val="0"/>
                <w:sz w:val="24"/>
              </w:rPr>
            </w:pPr>
            <w:r>
              <w:rPr>
                <w:rFonts w:hint="eastAsia" w:ascii="仿宋_GB2312" w:hAnsi="宋体" w:eastAsia="仿宋_GB2312" w:cs="宋体"/>
                <w:kern w:val="0"/>
                <w:sz w:val="24"/>
              </w:rPr>
              <w:t>　　　　　　　　　　危及国家安全、公共安全、经济安全和社会稳定</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不是《条例》所指政府信息</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法律法规规定的其他情形</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5.不属于本行政机关公开数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6.申请信息不存在数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7.告知作出更改补充数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8.告知通过其他途径办理数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四、行政复议数量</w:t>
            </w:r>
          </w:p>
        </w:tc>
        <w:tc>
          <w:tcPr>
            <w:tcW w:w="72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件</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（一）维持具体行政行为数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（二）被依法纠错数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（三）其他情形数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五、行政诉讼数量</w:t>
            </w:r>
          </w:p>
        </w:tc>
        <w:tc>
          <w:tcPr>
            <w:tcW w:w="72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件</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（一）维持具体行政行为或者驳回原告诉讼请求数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（二）被依法纠错数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（三）其他情形数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六、举报投诉数量</w:t>
            </w:r>
          </w:p>
        </w:tc>
        <w:tc>
          <w:tcPr>
            <w:tcW w:w="72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件</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七、依申请公开信息收取的费用</w:t>
            </w:r>
          </w:p>
        </w:tc>
        <w:tc>
          <w:tcPr>
            <w:tcW w:w="72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万元</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八、机构建设和保障经费情况</w:t>
            </w:r>
          </w:p>
        </w:tc>
        <w:tc>
          <w:tcPr>
            <w:tcW w:w="720" w:type="dxa"/>
            <w:tcBorders>
              <w:top w:val="nil"/>
              <w:left w:val="nil"/>
              <w:bottom w:val="single" w:color="auto" w:sz="4" w:space="0"/>
              <w:right w:val="single" w:color="auto" w:sz="4" w:space="0"/>
              <w:tr2bl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（一）政府信息公开工作专门机构数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个</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（二）设置政府信息公开查阅点数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个</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（三）从事政府信息公开工作人员数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人</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1.专职人员数（不包括政府公报及政府网站工作人员数）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人</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2.兼职人员数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人</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0" w:hRule="atLeast"/>
          <w:jc w:val="center"/>
        </w:trPr>
        <w:tc>
          <w:tcPr>
            <w:tcW w:w="7755" w:type="dxa"/>
            <w:tcBorders>
              <w:top w:val="nil"/>
              <w:left w:val="single" w:color="auto" w:sz="8" w:space="0"/>
              <w:bottom w:val="single" w:color="auto" w:sz="4" w:space="0"/>
              <w:right w:val="single" w:color="auto" w:sz="4" w:space="0"/>
            </w:tcBorders>
            <w:vAlign w:val="center"/>
          </w:tcPr>
          <w:p>
            <w:pPr>
              <w:widowControl/>
              <w:ind w:left="960" w:hanging="960" w:hangingChars="400"/>
              <w:jc w:val="left"/>
              <w:rPr>
                <w:rFonts w:ascii="仿宋_GB2312" w:hAnsi="宋体" w:eastAsia="仿宋_GB2312" w:cs="宋体"/>
                <w:kern w:val="0"/>
                <w:sz w:val="24"/>
              </w:rPr>
            </w:pPr>
            <w:r>
              <w:rPr>
                <w:rFonts w:hint="eastAsia" w:ascii="仿宋_GB2312" w:hAnsi="宋体" w:eastAsia="仿宋_GB2312" w:cs="宋体"/>
                <w:kern w:val="0"/>
                <w:sz w:val="24"/>
              </w:rPr>
              <w:t xml:space="preserve">  （四）政府信息公开专项经费（不包括用于政府公报编辑管理及政府网站建设维护等方面的经费）</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万元</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九、政府信息公开会议和培训情况</w:t>
            </w:r>
          </w:p>
        </w:tc>
        <w:tc>
          <w:tcPr>
            <w:tcW w:w="720" w:type="dxa"/>
            <w:tcBorders>
              <w:top w:val="nil"/>
              <w:left w:val="nil"/>
              <w:bottom w:val="single" w:color="auto" w:sz="4" w:space="0"/>
              <w:right w:val="single" w:color="auto" w:sz="4" w:space="0"/>
              <w:tr2bl w:val="single" w:color="auto" w:sz="4" w:space="0"/>
            </w:tcBorders>
            <w:vAlign w:val="center"/>
          </w:tcPr>
          <w:p>
            <w:pPr>
              <w:widowControl/>
              <w:jc w:val="center"/>
              <w:rPr>
                <w:rFonts w:ascii="宋体" w:hAnsi="宋体" w:cs="宋体"/>
                <w:color w:val="000000"/>
                <w:kern w:val="0"/>
                <w:sz w:val="24"/>
              </w:rPr>
            </w:pP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（一）召开政府信息公开工作会议或专题会议数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（二）举办各类培训班数</w:t>
            </w:r>
          </w:p>
        </w:tc>
        <w:tc>
          <w:tcPr>
            <w:tcW w:w="72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vAlign w:val="center"/>
          </w:tcPr>
          <w:p>
            <w:pPr>
              <w:jc w:val="center"/>
              <w:rPr>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8"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（三）接受培训人员数</w:t>
            </w:r>
          </w:p>
        </w:tc>
        <w:tc>
          <w:tcPr>
            <w:tcW w:w="720" w:type="dxa"/>
            <w:tcBorders>
              <w:top w:val="nil"/>
              <w:left w:val="nil"/>
              <w:bottom w:val="single" w:color="auto" w:sz="8"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人次</w:t>
            </w:r>
          </w:p>
        </w:tc>
        <w:tc>
          <w:tcPr>
            <w:tcW w:w="1080" w:type="dxa"/>
            <w:tcBorders>
              <w:top w:val="nil"/>
              <w:left w:val="nil"/>
              <w:bottom w:val="single" w:color="auto" w:sz="8" w:space="0"/>
              <w:right w:val="single" w:color="auto" w:sz="8" w:space="0"/>
            </w:tcBorders>
            <w:vAlign w:val="center"/>
          </w:tcPr>
          <w:p>
            <w:pPr>
              <w:jc w:val="center"/>
              <w:rPr>
                <w:color w:val="000000"/>
                <w:sz w:val="22"/>
                <w:szCs w:val="22"/>
              </w:rPr>
            </w:pPr>
          </w:p>
        </w:tc>
      </w:tr>
    </w:tbl>
    <w:p>
      <w:pPr>
        <w:widowControl/>
        <w:spacing w:line="560" w:lineRule="exact"/>
        <w:ind w:left="4469" w:leftChars="2128" w:right="480"/>
        <w:jc w:val="right"/>
        <w:rPr>
          <w:rFonts w:ascii="仿宋_GB2312" w:hAnsi="宋体" w:eastAsia="仿宋_GB2312" w:cs="宋体"/>
          <w:kern w:val="0"/>
          <w:sz w:val="32"/>
          <w:szCs w:val="32"/>
        </w:rPr>
      </w:pPr>
    </w:p>
    <w:sectPr>
      <w:footerReference r:id="rId4" w:type="default"/>
      <w:footerReference r:id="rId5" w:type="even"/>
      <w:pgSz w:w="11906" w:h="16838"/>
      <w:pgMar w:top="1440" w:right="1800" w:bottom="1440" w:left="1800" w:header="851" w:footer="992" w:gutter="0"/>
      <w:pgNumType w:start="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方正小标宋简体">
    <w:altName w:val="Arial Unicode MS"/>
    <w:panose1 w:val="03000509000000000000"/>
    <w:charset w:val="86"/>
    <w:family w:val="auto"/>
    <w:pitch w:val="default"/>
    <w:sig w:usb0="00000001" w:usb1="080E0000" w:usb2="00000010" w:usb3="00000000" w:csb0="00040000" w:csb1="00000000"/>
  </w:font>
  <w:font w:name="汉仪大宋简">
    <w:altName w:val="Arial"/>
    <w:panose1 w:val="00000000000000000000"/>
    <w:charset w:val="00"/>
    <w:family w:val="auto"/>
    <w:pitch w:val="default"/>
    <w:sig w:usb0="00000000" w:usb1="00000000" w:usb2="00000000" w:usb3="00000000" w:csb0="00040001" w:csb1="00000000"/>
  </w:font>
  <w:font w:name="Tahoma">
    <w:panose1 w:val="020B0604030504040204"/>
    <w:charset w:val="00"/>
    <w:family w:val="auto"/>
    <w:pitch w:val="default"/>
    <w:sig w:usb0="61007A87" w:usb1="80000000" w:usb2="00000008" w:usb3="00000000" w:csb0="200101FF" w:csb1="2028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仿宋">
    <w:altName w:val="仿宋_GB2312"/>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Arial Narrow">
    <w:panose1 w:val="020B0606020202030204"/>
    <w:charset w:val="00"/>
    <w:family w:val="auto"/>
    <w:pitch w:val="default"/>
    <w:sig w:usb0="00000287" w:usb1="00000800" w:usb2="00000000" w:usb3="00000000" w:csb0="2000009F" w:csb1="DFD7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framePr w:wrap="around" w:vAnchor="text" w:hAnchor="margin" w:xAlign="center" w:y="1"/>
      <w:rPr>
        <w:rStyle w:val="9"/>
      </w:rPr>
    </w:pPr>
    <w:r>
      <w:rPr>
        <w:rStyle w:val="9"/>
      </w:rPr>
      <w:fldChar w:fldCharType="begin"/>
    </w:r>
    <w:r>
      <w:rPr>
        <w:rStyle w:val="9"/>
      </w:rPr>
      <w:instrText xml:space="preserve">PAGE  </w:instrText>
    </w:r>
    <w:r>
      <w:rPr>
        <w:rStyle w:val="9"/>
      </w:rPr>
      <w:fldChar w:fldCharType="separate"/>
    </w:r>
    <w:r>
      <w:rPr>
        <w:rStyle w:val="9"/>
      </w:rPr>
      <w:t>9</w:t>
    </w:r>
    <w:r>
      <w:rPr>
        <w:rStyle w:val="9"/>
      </w:rP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framePr w:wrap="around" w:vAnchor="text" w:hAnchor="margin" w:xAlign="center" w:y="1"/>
      <w:rPr>
        <w:rStyle w:val="9"/>
      </w:rPr>
    </w:pPr>
    <w:r>
      <w:rPr>
        <w:rStyle w:val="9"/>
      </w:rPr>
      <w:fldChar w:fldCharType="begin"/>
    </w:r>
    <w:r>
      <w:rPr>
        <w:rStyle w:val="9"/>
      </w:rPr>
      <w:instrText xml:space="preserve">PAGE  </w:instrText>
    </w:r>
    <w:r>
      <w:rPr>
        <w:rStyle w:val="9"/>
      </w:rPr>
      <w:fldChar w:fldCharType="end"/>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457493865">
    <w:nsid w:val="56DF9769"/>
    <w:multiLevelType w:val="singleLevel"/>
    <w:tmpl w:val="56DF9769"/>
    <w:lvl w:ilvl="0" w:tentative="1">
      <w:start w:val="1"/>
      <w:numFmt w:val="chineseCounting"/>
      <w:suff w:val="nothing"/>
      <w:lvlText w:val="（%1）"/>
      <w:lvlJc w:val="left"/>
    </w:lvl>
  </w:abstractNum>
  <w:abstractNum w:abstractNumId="1457493758">
    <w:nsid w:val="56DF96FE"/>
    <w:multiLevelType w:val="singleLevel"/>
    <w:tmpl w:val="56DF96FE"/>
    <w:lvl w:ilvl="0" w:tentative="1">
      <w:start w:val="1"/>
      <w:numFmt w:val="chineseCounting"/>
      <w:suff w:val="nothing"/>
      <w:lvlText w:val="（%1）"/>
      <w:lvlJc w:val="left"/>
    </w:lvl>
  </w:abstractNum>
  <w:num w:numId="1">
    <w:abstractNumId w:val="1457493758"/>
  </w:num>
  <w:num w:numId="2">
    <w:abstractNumId w:val="145749386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FF34FE"/>
    <w:rsid w:val="00011299"/>
    <w:rsid w:val="0001550B"/>
    <w:rsid w:val="00024A33"/>
    <w:rsid w:val="00030ED2"/>
    <w:rsid w:val="000477DD"/>
    <w:rsid w:val="00061A8B"/>
    <w:rsid w:val="0006724E"/>
    <w:rsid w:val="0008546D"/>
    <w:rsid w:val="00091B5A"/>
    <w:rsid w:val="00095C94"/>
    <w:rsid w:val="000C3E2E"/>
    <w:rsid w:val="000D7F41"/>
    <w:rsid w:val="000E18D5"/>
    <w:rsid w:val="000F5455"/>
    <w:rsid w:val="000F57C6"/>
    <w:rsid w:val="00135812"/>
    <w:rsid w:val="00136479"/>
    <w:rsid w:val="001649F9"/>
    <w:rsid w:val="00165D78"/>
    <w:rsid w:val="001770DC"/>
    <w:rsid w:val="00191E43"/>
    <w:rsid w:val="001969C7"/>
    <w:rsid w:val="001A132F"/>
    <w:rsid w:val="001A438D"/>
    <w:rsid w:val="001C335D"/>
    <w:rsid w:val="001E0EDB"/>
    <w:rsid w:val="001F1E77"/>
    <w:rsid w:val="0020438B"/>
    <w:rsid w:val="002050C9"/>
    <w:rsid w:val="00215A1F"/>
    <w:rsid w:val="00220270"/>
    <w:rsid w:val="00234422"/>
    <w:rsid w:val="00263CF6"/>
    <w:rsid w:val="0026751C"/>
    <w:rsid w:val="00267D9B"/>
    <w:rsid w:val="00276839"/>
    <w:rsid w:val="00282A54"/>
    <w:rsid w:val="002A61EF"/>
    <w:rsid w:val="002B3EA2"/>
    <w:rsid w:val="002C6CC3"/>
    <w:rsid w:val="002D25F5"/>
    <w:rsid w:val="002E4D22"/>
    <w:rsid w:val="002F450B"/>
    <w:rsid w:val="00303BA7"/>
    <w:rsid w:val="00312FA6"/>
    <w:rsid w:val="00315E66"/>
    <w:rsid w:val="0032036E"/>
    <w:rsid w:val="00323318"/>
    <w:rsid w:val="0033311E"/>
    <w:rsid w:val="00350B99"/>
    <w:rsid w:val="00364095"/>
    <w:rsid w:val="00373CA6"/>
    <w:rsid w:val="00385552"/>
    <w:rsid w:val="00386739"/>
    <w:rsid w:val="00391E8B"/>
    <w:rsid w:val="00393804"/>
    <w:rsid w:val="003A2DE8"/>
    <w:rsid w:val="003C2EA7"/>
    <w:rsid w:val="003C3529"/>
    <w:rsid w:val="003C4B6C"/>
    <w:rsid w:val="003D407B"/>
    <w:rsid w:val="003F0526"/>
    <w:rsid w:val="003F386C"/>
    <w:rsid w:val="0040195E"/>
    <w:rsid w:val="00404D78"/>
    <w:rsid w:val="00430A10"/>
    <w:rsid w:val="0043690A"/>
    <w:rsid w:val="00442F1C"/>
    <w:rsid w:val="00444749"/>
    <w:rsid w:val="00455D1F"/>
    <w:rsid w:val="00464DE1"/>
    <w:rsid w:val="00475F51"/>
    <w:rsid w:val="00480EBD"/>
    <w:rsid w:val="004835AE"/>
    <w:rsid w:val="00487674"/>
    <w:rsid w:val="00493506"/>
    <w:rsid w:val="0049714A"/>
    <w:rsid w:val="004B1F88"/>
    <w:rsid w:val="004E0C30"/>
    <w:rsid w:val="004E3F3D"/>
    <w:rsid w:val="004E7A7F"/>
    <w:rsid w:val="00500F43"/>
    <w:rsid w:val="005038B7"/>
    <w:rsid w:val="005051AA"/>
    <w:rsid w:val="00511D6A"/>
    <w:rsid w:val="00552C13"/>
    <w:rsid w:val="00552E76"/>
    <w:rsid w:val="00561B6A"/>
    <w:rsid w:val="00566A85"/>
    <w:rsid w:val="0057505F"/>
    <w:rsid w:val="00576AA8"/>
    <w:rsid w:val="00590400"/>
    <w:rsid w:val="005933D4"/>
    <w:rsid w:val="005A43F9"/>
    <w:rsid w:val="005A5BA1"/>
    <w:rsid w:val="005B59E2"/>
    <w:rsid w:val="005C4FC2"/>
    <w:rsid w:val="005C5EB9"/>
    <w:rsid w:val="005D35EC"/>
    <w:rsid w:val="005D38A7"/>
    <w:rsid w:val="005D454A"/>
    <w:rsid w:val="005D70D9"/>
    <w:rsid w:val="005E06C3"/>
    <w:rsid w:val="005E137E"/>
    <w:rsid w:val="005E3B9B"/>
    <w:rsid w:val="005F42E9"/>
    <w:rsid w:val="0062038E"/>
    <w:rsid w:val="006456F4"/>
    <w:rsid w:val="00673972"/>
    <w:rsid w:val="006800C1"/>
    <w:rsid w:val="006806E4"/>
    <w:rsid w:val="0068740C"/>
    <w:rsid w:val="006B2C55"/>
    <w:rsid w:val="006D3C9C"/>
    <w:rsid w:val="00704AAF"/>
    <w:rsid w:val="00716195"/>
    <w:rsid w:val="007300BC"/>
    <w:rsid w:val="007318B4"/>
    <w:rsid w:val="00732FB8"/>
    <w:rsid w:val="00733332"/>
    <w:rsid w:val="0073390C"/>
    <w:rsid w:val="007440C9"/>
    <w:rsid w:val="00747B06"/>
    <w:rsid w:val="00750D2A"/>
    <w:rsid w:val="00754E59"/>
    <w:rsid w:val="00770AD8"/>
    <w:rsid w:val="0077218A"/>
    <w:rsid w:val="007746CC"/>
    <w:rsid w:val="007939C3"/>
    <w:rsid w:val="007A1833"/>
    <w:rsid w:val="007C71C1"/>
    <w:rsid w:val="007F2536"/>
    <w:rsid w:val="00800AA7"/>
    <w:rsid w:val="00802EFC"/>
    <w:rsid w:val="00804A0A"/>
    <w:rsid w:val="00807928"/>
    <w:rsid w:val="008238B3"/>
    <w:rsid w:val="00824136"/>
    <w:rsid w:val="00830104"/>
    <w:rsid w:val="00845ADF"/>
    <w:rsid w:val="00846086"/>
    <w:rsid w:val="00860E3E"/>
    <w:rsid w:val="00874774"/>
    <w:rsid w:val="00875C8E"/>
    <w:rsid w:val="00896F27"/>
    <w:rsid w:val="008A2B14"/>
    <w:rsid w:val="008A3AC4"/>
    <w:rsid w:val="008C1089"/>
    <w:rsid w:val="008C4AF7"/>
    <w:rsid w:val="008E15A5"/>
    <w:rsid w:val="008E196E"/>
    <w:rsid w:val="008E6450"/>
    <w:rsid w:val="00906445"/>
    <w:rsid w:val="00910CBB"/>
    <w:rsid w:val="0092083B"/>
    <w:rsid w:val="00922313"/>
    <w:rsid w:val="0092687B"/>
    <w:rsid w:val="009271F8"/>
    <w:rsid w:val="00931057"/>
    <w:rsid w:val="009367A0"/>
    <w:rsid w:val="0094334E"/>
    <w:rsid w:val="009706DE"/>
    <w:rsid w:val="00971C58"/>
    <w:rsid w:val="009746D0"/>
    <w:rsid w:val="0099649A"/>
    <w:rsid w:val="009B3C87"/>
    <w:rsid w:val="009C6833"/>
    <w:rsid w:val="009D2611"/>
    <w:rsid w:val="009D3508"/>
    <w:rsid w:val="009D79B0"/>
    <w:rsid w:val="009E1810"/>
    <w:rsid w:val="009F3F88"/>
    <w:rsid w:val="00A0311A"/>
    <w:rsid w:val="00A1509C"/>
    <w:rsid w:val="00A20BE9"/>
    <w:rsid w:val="00A23A68"/>
    <w:rsid w:val="00A61446"/>
    <w:rsid w:val="00A714B2"/>
    <w:rsid w:val="00A90797"/>
    <w:rsid w:val="00AD5E1D"/>
    <w:rsid w:val="00AD6B74"/>
    <w:rsid w:val="00AE73D2"/>
    <w:rsid w:val="00AF39B8"/>
    <w:rsid w:val="00AF7359"/>
    <w:rsid w:val="00B06294"/>
    <w:rsid w:val="00B128C1"/>
    <w:rsid w:val="00B13752"/>
    <w:rsid w:val="00B15089"/>
    <w:rsid w:val="00B72A12"/>
    <w:rsid w:val="00B92952"/>
    <w:rsid w:val="00BA1750"/>
    <w:rsid w:val="00BA778C"/>
    <w:rsid w:val="00BB329A"/>
    <w:rsid w:val="00BC3B1C"/>
    <w:rsid w:val="00BD0DF3"/>
    <w:rsid w:val="00BD4C14"/>
    <w:rsid w:val="00C008B5"/>
    <w:rsid w:val="00C127B0"/>
    <w:rsid w:val="00C1318D"/>
    <w:rsid w:val="00C2000A"/>
    <w:rsid w:val="00C21AD9"/>
    <w:rsid w:val="00C32DA8"/>
    <w:rsid w:val="00C33A95"/>
    <w:rsid w:val="00C66BED"/>
    <w:rsid w:val="00C70936"/>
    <w:rsid w:val="00C9001A"/>
    <w:rsid w:val="00C92922"/>
    <w:rsid w:val="00CC1169"/>
    <w:rsid w:val="00CC6F1F"/>
    <w:rsid w:val="00CD2247"/>
    <w:rsid w:val="00CD70A9"/>
    <w:rsid w:val="00CE7AA8"/>
    <w:rsid w:val="00CF1B2B"/>
    <w:rsid w:val="00D03C7D"/>
    <w:rsid w:val="00D14DEE"/>
    <w:rsid w:val="00D22E11"/>
    <w:rsid w:val="00D23DCC"/>
    <w:rsid w:val="00D35E05"/>
    <w:rsid w:val="00D52A19"/>
    <w:rsid w:val="00D61FDB"/>
    <w:rsid w:val="00D622F1"/>
    <w:rsid w:val="00D748D2"/>
    <w:rsid w:val="00D85444"/>
    <w:rsid w:val="00DA26B0"/>
    <w:rsid w:val="00DB6223"/>
    <w:rsid w:val="00DC3D8E"/>
    <w:rsid w:val="00DD0601"/>
    <w:rsid w:val="00DE49A7"/>
    <w:rsid w:val="00DE52B6"/>
    <w:rsid w:val="00DF0BD8"/>
    <w:rsid w:val="00DF4EBD"/>
    <w:rsid w:val="00E02AE0"/>
    <w:rsid w:val="00E034E9"/>
    <w:rsid w:val="00E112FE"/>
    <w:rsid w:val="00E128C4"/>
    <w:rsid w:val="00E20708"/>
    <w:rsid w:val="00E20935"/>
    <w:rsid w:val="00E219EF"/>
    <w:rsid w:val="00E32008"/>
    <w:rsid w:val="00E71476"/>
    <w:rsid w:val="00E74F2C"/>
    <w:rsid w:val="00E90178"/>
    <w:rsid w:val="00EA0880"/>
    <w:rsid w:val="00EA4E95"/>
    <w:rsid w:val="00EB1F9C"/>
    <w:rsid w:val="00ED2876"/>
    <w:rsid w:val="00ED2A5C"/>
    <w:rsid w:val="00ED3380"/>
    <w:rsid w:val="00EE462E"/>
    <w:rsid w:val="00EF142A"/>
    <w:rsid w:val="00EF398F"/>
    <w:rsid w:val="00EF3F47"/>
    <w:rsid w:val="00EF52CD"/>
    <w:rsid w:val="00F2797D"/>
    <w:rsid w:val="00F32436"/>
    <w:rsid w:val="00F32D9A"/>
    <w:rsid w:val="00F34CEC"/>
    <w:rsid w:val="00F401B1"/>
    <w:rsid w:val="00F438C0"/>
    <w:rsid w:val="00F60F29"/>
    <w:rsid w:val="00F95C81"/>
    <w:rsid w:val="00FB3A68"/>
    <w:rsid w:val="00FB481B"/>
    <w:rsid w:val="00FC27C7"/>
    <w:rsid w:val="00FE5955"/>
    <w:rsid w:val="00FE759B"/>
    <w:rsid w:val="00FF0E63"/>
    <w:rsid w:val="00FF34FE"/>
    <w:rsid w:val="103E3F4C"/>
    <w:rsid w:val="113B497A"/>
    <w:rsid w:val="116B5221"/>
    <w:rsid w:val="29803A4B"/>
    <w:rsid w:val="2E115A48"/>
    <w:rsid w:val="332B2000"/>
    <w:rsid w:val="34D025D9"/>
    <w:rsid w:val="36047153"/>
    <w:rsid w:val="36204C72"/>
    <w:rsid w:val="38D318BF"/>
    <w:rsid w:val="3B8F2744"/>
    <w:rsid w:val="520812A5"/>
    <w:rsid w:val="59E62932"/>
    <w:rsid w:val="71F44E84"/>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unhideWhenUsed/>
    <w:uiPriority w:val="1"/>
  </w:style>
  <w:style w:type="table" w:default="1" w:styleId="10">
    <w:name w:val="Normal Table"/>
    <w:unhideWhenUsed/>
    <w:uiPriority w:val="99"/>
    <w:tblPr>
      <w:tblStyle w:val="10"/>
      <w:tblLayout w:type="fixed"/>
      <w:tblCellMar>
        <w:top w:w="0" w:type="dxa"/>
        <w:left w:w="108" w:type="dxa"/>
        <w:bottom w:w="0" w:type="dxa"/>
        <w:right w:w="108" w:type="dxa"/>
      </w:tblCellMar>
    </w:tblPr>
    <w:tcPr>
      <w:textDirection w:val="lrTb"/>
    </w:tcPr>
  </w:style>
  <w:style w:type="paragraph" w:styleId="2">
    <w:name w:val="Document Map"/>
    <w:basedOn w:val="1"/>
    <w:semiHidden/>
    <w:uiPriority w:val="0"/>
    <w:pPr>
      <w:shd w:val="clear" w:color="auto" w:fill="000080"/>
    </w:pPr>
  </w:style>
  <w:style w:type="paragraph" w:styleId="3">
    <w:name w:val="Body Text"/>
    <w:basedOn w:val="1"/>
    <w:uiPriority w:val="0"/>
    <w:pPr>
      <w:suppressAutoHyphens/>
      <w:jc w:val="center"/>
    </w:pPr>
    <w:rPr>
      <w:rFonts w:ascii="方正小标宋简体" w:hAnsi="汉仪大宋简" w:eastAsia="方正小标宋简体"/>
      <w:color w:val="000000"/>
      <w:kern w:val="0"/>
      <w:sz w:val="44"/>
      <w:szCs w:val="20"/>
    </w:rPr>
  </w:style>
  <w:style w:type="paragraph" w:styleId="4">
    <w:name w:val="Balloon Text"/>
    <w:basedOn w:val="1"/>
    <w:semiHidden/>
    <w:uiPriority w:val="0"/>
    <w:rPr>
      <w:sz w:val="18"/>
      <w:szCs w:val="18"/>
    </w:rPr>
  </w:style>
  <w:style w:type="paragraph" w:styleId="5">
    <w:name w:val="footer"/>
    <w:basedOn w:val="1"/>
    <w:uiPriority w:val="0"/>
    <w:pPr>
      <w:tabs>
        <w:tab w:val="center" w:pos="4153"/>
        <w:tab w:val="right" w:pos="8306"/>
      </w:tabs>
      <w:snapToGrid w:val="0"/>
      <w:jc w:val="left"/>
    </w:pPr>
    <w:rPr>
      <w:sz w:val="18"/>
      <w:szCs w:val="18"/>
    </w:rPr>
  </w:style>
  <w:style w:type="paragraph" w:styleId="6">
    <w:name w:val="header"/>
    <w:basedOn w:val="1"/>
    <w:link w:val="16"/>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iPriority w:val="0"/>
    <w:pPr>
      <w:widowControl/>
      <w:spacing w:before="100" w:beforeAutospacing="1" w:after="100" w:afterAutospacing="1"/>
      <w:jc w:val="left"/>
    </w:pPr>
    <w:rPr>
      <w:rFonts w:ascii="宋体" w:hAnsi="宋体" w:cs="宋体"/>
      <w:kern w:val="0"/>
      <w:sz w:val="24"/>
    </w:rPr>
  </w:style>
  <w:style w:type="character" w:styleId="9">
    <w:name w:val="page number"/>
    <w:basedOn w:val="8"/>
    <w:uiPriority w:val="0"/>
    <w:rPr/>
  </w:style>
  <w:style w:type="paragraph" w:customStyle="1" w:styleId="11">
    <w:name w:val="Char Char Char Char"/>
    <w:basedOn w:val="2"/>
    <w:uiPriority w:val="0"/>
    <w:pPr>
      <w:adjustRightInd w:val="0"/>
      <w:spacing w:line="436" w:lineRule="exact"/>
      <w:ind w:left="357"/>
      <w:jc w:val="left"/>
      <w:outlineLvl w:val="3"/>
    </w:pPr>
    <w:rPr>
      <w:rFonts w:ascii="Tahoma" w:hAnsi="Tahoma"/>
      <w:b/>
      <w:sz w:val="24"/>
    </w:rPr>
  </w:style>
  <w:style w:type="paragraph" w:customStyle="1" w:styleId="12">
    <w:name w:val="Char Char Char1 Char Char Char Char"/>
    <w:basedOn w:val="2"/>
    <w:uiPriority w:val="0"/>
    <w:pPr>
      <w:adjustRightInd w:val="0"/>
      <w:spacing w:line="436" w:lineRule="exact"/>
      <w:ind w:left="357"/>
      <w:jc w:val="left"/>
      <w:outlineLvl w:val="3"/>
    </w:pPr>
    <w:rPr>
      <w:rFonts w:ascii="Tahoma" w:hAnsi="Tahoma"/>
      <w:b/>
      <w:sz w:val="24"/>
    </w:rPr>
  </w:style>
  <w:style w:type="paragraph" w:customStyle="1" w:styleId="13">
    <w:name w:val="Char Char1 Char Char Char Char Char Char"/>
    <w:basedOn w:val="2"/>
    <w:uiPriority w:val="0"/>
    <w:pPr>
      <w:adjustRightInd w:val="0"/>
      <w:spacing w:line="436" w:lineRule="exact"/>
      <w:ind w:left="357"/>
      <w:jc w:val="left"/>
      <w:outlineLvl w:val="3"/>
    </w:pPr>
    <w:rPr>
      <w:rFonts w:ascii="Tahoma" w:hAnsi="Tahoma"/>
      <w:b/>
      <w:sz w:val="24"/>
      <w:szCs w:val="32"/>
    </w:rPr>
  </w:style>
  <w:style w:type="paragraph" w:customStyle="1" w:styleId="14">
    <w:name w:val="Char Char"/>
    <w:basedOn w:val="2"/>
    <w:uiPriority w:val="0"/>
    <w:rPr>
      <w:rFonts w:ascii="Tahoma" w:hAnsi="Tahoma"/>
      <w:sz w:val="24"/>
      <w:szCs w:val="20"/>
    </w:rPr>
  </w:style>
  <w:style w:type="paragraph" w:customStyle="1" w:styleId="15">
    <w:name w:val="Char Char Char Char Char Char Char Char Char Char Char Char"/>
    <w:basedOn w:val="2"/>
    <w:uiPriority w:val="0"/>
    <w:pPr>
      <w:adjustRightInd w:val="0"/>
      <w:spacing w:line="436" w:lineRule="exact"/>
      <w:ind w:left="357"/>
      <w:jc w:val="left"/>
      <w:outlineLvl w:val="3"/>
    </w:pPr>
    <w:rPr>
      <w:rFonts w:ascii="Tahoma" w:hAnsi="Tahoma"/>
      <w:b/>
      <w:sz w:val="24"/>
    </w:rPr>
  </w:style>
  <w:style w:type="character" w:customStyle="1" w:styleId="16">
    <w:name w:val="页眉 Char"/>
    <w:link w:val="6"/>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Company>
  <Pages>10</Pages>
  <Words>763</Words>
  <Characters>4355</Characters>
  <Lines>36</Lines>
  <Paragraphs>10</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2016-02-22T09:36:00Z</dcterms:created>
  <dc:creator>ss</dc:creator>
  <cp:lastModifiedBy>Administrator</cp:lastModifiedBy>
  <cp:lastPrinted>2016-02-22T09:27:00Z</cp:lastPrinted>
  <dcterms:modified xsi:type="dcterms:W3CDTF">2016-03-09T06:58:15Z</dcterms:modified>
  <dc:title>北京市200×年××局政府信息公开</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