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pPr>
      <w:r>
        <w:t>窗体顶端</w:t>
      </w:r>
    </w:p>
    <w:p>
      <w:pPr>
        <w:pStyle w:val="2"/>
        <w:keepNext w:val="0"/>
        <w:keepLines w:val="0"/>
        <w:widowControl/>
        <w:suppressLineNumbers w:val="0"/>
        <w:spacing w:before="226" w:beforeAutospacing="0" w:after="0" w:afterAutospacing="0" w:line="360" w:lineRule="atLeast"/>
        <w:ind w:right="0"/>
        <w:jc w:val="center"/>
        <w:rPr>
          <w:rFonts w:hint="eastAsia" w:ascii="仿宋_GB2312" w:hAnsi="仿宋_GB2312" w:eastAsia="仿宋_GB2312" w:cs="仿宋_GB2312"/>
          <w:color w:val="505050"/>
          <w:sz w:val="32"/>
          <w:szCs w:val="32"/>
        </w:rPr>
      </w:pPr>
      <w:r>
        <w:rPr>
          <w:rFonts w:hint="eastAsia" w:ascii="宋体" w:hAnsi="宋体" w:eastAsia="宋体" w:cs="宋体"/>
          <w:color w:val="505050"/>
          <w:sz w:val="44"/>
          <w:szCs w:val="44"/>
          <w:shd w:val="clear" w:fill="FFFFFF"/>
        </w:rPr>
        <w:t>2016年北京市大兴区城市管理综合行政执法监察局政府信息公开年度报告</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本</w:t>
      </w:r>
      <w:bookmarkStart w:id="0" w:name="_GoBack"/>
      <w:bookmarkEnd w:id="0"/>
      <w:r>
        <w:rPr>
          <w:rFonts w:hint="eastAsia" w:ascii="仿宋_GB2312" w:hAnsi="仿宋_GB2312" w:eastAsia="仿宋_GB2312" w:cs="仿宋_GB2312"/>
          <w:color w:val="505050"/>
          <w:sz w:val="32"/>
          <w:szCs w:val="32"/>
          <w:shd w:val="clear" w:fill="FFFFFF"/>
        </w:rPr>
        <w:t>报告是根据《中华人民共和国政府信息公开条例》（以下简称《条例》）要求，由北京市大兴区城市管理综合行政执法监察局编制2016年度政府信息公开年度报告。</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全文包括概述，主动公开政府信息的情况，依申请公开政府信息和不予公开政府信息的情况，因政府信息公开申请行政复议、提起行政诉讼的情况，政府信息公开工作存在不足及改进措施。</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本报告中所列数据的统计期限自2016年1月1日起至2016年12月31日止。本报告的电子版可在大兴信息网（http://www.bjdx.gov.cn/）信息公开栏目中下载。如对报告有任何疑问，请与北京市大兴区城市管理综合行政执法监察局联系（地址:北京市大兴区黄桂路8号；邮编：102600；联系电话：010-61268213）。</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br w:type="textWrapping"/>
      </w:r>
      <w:r>
        <w:rPr>
          <w:rFonts w:hint="eastAsia" w:ascii="仿宋_GB2312" w:hAnsi="仿宋_GB2312" w:eastAsia="仿宋_GB2312" w:cs="仿宋_GB2312"/>
          <w:color w:val="505050"/>
          <w:sz w:val="32"/>
          <w:szCs w:val="32"/>
          <w:shd w:val="clear" w:fill="FFFFFF"/>
        </w:rPr>
        <w:t> </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一、概述</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2016年度，我局认真贯彻落实《政府信息公开条例》及市、区两级政府相关文件精神，以建设“行为规范、运转协调、公正透明、廉洁高效”的行政执法队伍为目标，以“公平、及时、准确、便民”为原则，积极做好城管执法局政府信息公开工作。</w:t>
      </w:r>
      <w:r>
        <w:rPr>
          <w:rStyle w:val="4"/>
          <w:rFonts w:hint="eastAsia" w:ascii="仿宋_GB2312" w:hAnsi="仿宋_GB2312" w:eastAsia="仿宋_GB2312" w:cs="仿宋_GB2312"/>
          <w:color w:val="505050"/>
          <w:sz w:val="32"/>
          <w:szCs w:val="32"/>
          <w:shd w:val="clear" w:fill="FFFFFF"/>
        </w:rPr>
        <w:t>一是领导重视，组织有力。</w:t>
      </w:r>
      <w:r>
        <w:rPr>
          <w:rFonts w:hint="eastAsia" w:ascii="仿宋_GB2312" w:hAnsi="仿宋_GB2312" w:eastAsia="仿宋_GB2312" w:cs="仿宋_GB2312"/>
          <w:color w:val="505050"/>
          <w:sz w:val="32"/>
          <w:szCs w:val="32"/>
          <w:shd w:val="clear" w:fill="FFFFFF"/>
        </w:rPr>
        <w:t>我局坚持把信息公开工作同党风廉政建设及业务工作紧密联系在一起，做到同研究、同部署、同检查、同落实，纳入全年工作的重要内容。信息公开领导小组由局主要领导任组长，科室负责人为成员。主要领导亲自抓，分管领导具体抓，并落实人员专门抓，形成了一级抓一级、层层抓落实的组织领导机制，做到领导工作到位、责任落实到人，保证了政府信息公开工作的顺利进行。</w:t>
      </w:r>
      <w:r>
        <w:rPr>
          <w:rStyle w:val="4"/>
          <w:rFonts w:hint="eastAsia" w:ascii="仿宋_GB2312" w:hAnsi="仿宋_GB2312" w:eastAsia="仿宋_GB2312" w:cs="仿宋_GB2312"/>
          <w:color w:val="505050"/>
          <w:sz w:val="32"/>
          <w:szCs w:val="32"/>
          <w:shd w:val="clear" w:fill="FFFFFF"/>
        </w:rPr>
        <w:t>二是细化流程，明确责任。</w:t>
      </w:r>
      <w:r>
        <w:rPr>
          <w:rFonts w:hint="eastAsia" w:ascii="仿宋_GB2312" w:hAnsi="仿宋_GB2312" w:eastAsia="仿宋_GB2312" w:cs="仿宋_GB2312"/>
          <w:color w:val="505050"/>
          <w:sz w:val="32"/>
          <w:szCs w:val="32"/>
          <w:shd w:val="clear" w:fill="FFFFFF"/>
        </w:rPr>
        <w:t>在年初时专题会议认真研究政府信息公开工作，明确本年度工作思路和工作重点，按照年初计划逐步实施，稳步推进。同时，根据工作情况变化，对大兴城管局《政府信息公开工作实施意见》、《政府信息公开制度汇编》等制度进行完善和修订。严格执行信息公开的管理制度、审查制度和流转制度，坚持工作人员初审、科室领导复核、主管领导把关的“三级审查”工作程序，确保信息能够及时、有效、安全公开。</w:t>
      </w:r>
      <w:r>
        <w:rPr>
          <w:rStyle w:val="4"/>
          <w:rFonts w:hint="eastAsia" w:ascii="仿宋_GB2312" w:hAnsi="仿宋_GB2312" w:eastAsia="仿宋_GB2312" w:cs="仿宋_GB2312"/>
          <w:color w:val="505050"/>
          <w:sz w:val="32"/>
          <w:szCs w:val="32"/>
          <w:shd w:val="clear" w:fill="FFFFFF"/>
        </w:rPr>
        <w:t>三是拓展载体，扎实工作。</w:t>
      </w:r>
      <w:r>
        <w:rPr>
          <w:rFonts w:hint="eastAsia" w:ascii="仿宋_GB2312" w:hAnsi="仿宋_GB2312" w:eastAsia="仿宋_GB2312" w:cs="仿宋_GB2312"/>
          <w:color w:val="505050"/>
          <w:sz w:val="32"/>
          <w:szCs w:val="32"/>
          <w:shd w:val="clear" w:fill="FFFFFF"/>
        </w:rPr>
        <w:t>今年，大兴城管执法局通过网站主动公开信息245条。其中主动公开工作信息162条，主动公开财政预算决算、“三公经费”及预算执行审计结果2条。为进一步拓展信息公开渠道，我局还在主要的社区设立了城管执法宣传栏，印发了3万份《致全区居民的一封信》，向群众广泛宣传城管法规、工作职责。2016年，我局共收集整理各类信息228条，其中主动公开信息149条，依申请公开信息0条，不予公开信息0条，充分保障了公众依法获取政府信息的权利。全年没有发生因信息公开工作引起的行政复议和行政诉讼案件。</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二、主动公开情况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按照《条例》第9至12条规定的主动公开政府信息范围，本局开展了信息清理和目录编制工作。按照《条例》第15条规定，以政府网站、电视、广播、报纸等便于公众知晓的方式开展了信息主动公开工作。按照《条例》第16条规定，为使公民、法人或者其他组织获取政府信息更加便利，继续完善了信息查阅中心等政府信息公开查阅场所。</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Style w:val="4"/>
          <w:rFonts w:hint="eastAsia" w:ascii="仿宋_GB2312" w:hAnsi="仿宋_GB2312" w:eastAsia="仿宋_GB2312" w:cs="仿宋_GB2312"/>
          <w:color w:val="505050"/>
          <w:sz w:val="32"/>
          <w:szCs w:val="32"/>
          <w:shd w:val="clear" w:fill="FFFFFF"/>
        </w:rPr>
        <w:t>（一）主要公开渠道</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Style w:val="4"/>
          <w:rFonts w:hint="eastAsia" w:ascii="仿宋_GB2312" w:hAnsi="仿宋_GB2312" w:eastAsia="仿宋_GB2312" w:cs="仿宋_GB2312"/>
          <w:color w:val="505050"/>
          <w:sz w:val="32"/>
          <w:szCs w:val="32"/>
          <w:shd w:val="clear" w:fill="FFFFFF"/>
        </w:rPr>
        <w:t>1. 政府网站</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北京市大兴区城市管理综合行政执法监察局政府信息公开网站共设置机构职能、法规文件、规划计划、行政职责、业务动态等5个一级栏目，下分设机构职责、岗位职责、规章制度、部门动态等多个二级栏目，由专人负责，对网站内容实时更新。</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2016年，通过政府信息公开专栏主动公开政府信息149条，全文电子化率为100%。其中，机构职能类信息8条，占总数的5.4%；法规文件类信息0条，占总数的0%；规划计划类信息0条，占总数的0%；行政职责类信息2条，占总数的1.3%；业务动态类信息139条，占总数的93.3%。</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Style w:val="4"/>
          <w:rFonts w:hint="eastAsia" w:ascii="仿宋_GB2312" w:hAnsi="仿宋_GB2312" w:eastAsia="仿宋_GB2312" w:cs="仿宋_GB2312"/>
          <w:color w:val="505050"/>
          <w:sz w:val="32"/>
          <w:szCs w:val="32"/>
          <w:shd w:val="clear" w:fill="FFFFFF"/>
        </w:rPr>
        <w:t>2、报刊</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借助大兴城管文报、大兴报等纸媒平台，以主动公开大兴城管执法监察局工作动态为重点，发挥纸媒优势，为信息公开工作的多元化发展提速增效。</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Style w:val="4"/>
          <w:rFonts w:hint="eastAsia" w:ascii="仿宋_GB2312" w:hAnsi="仿宋_GB2312" w:eastAsia="仿宋_GB2312" w:cs="仿宋_GB2312"/>
          <w:color w:val="505050"/>
          <w:sz w:val="32"/>
          <w:szCs w:val="32"/>
          <w:shd w:val="clear" w:fill="FFFFFF"/>
        </w:rPr>
        <w:t>（二）公共查阅场所</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本局共设立1个政府信息公开查阅场所。在大兴区黄村镇黄桂路8号大兴城管执法监察局机关二楼210室，设置了查阅室，并在一层设立电子查询信息屏，方便群众查阅信息。查阅场所配备了便民服务设施，制定了服务标准、工作准则等配套规章制度，方便公众就近查阅政府信息。</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政府信息公开查阅场所累计接待公众咨询查阅0人次，复印和打印文件0页。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三、依申请公开情况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按照《条例》第13条规定，本局自《条例》实施之日起正式受理公民、法人或者其他组织根据自身生产、生活、科研等特殊需要提出的政府信息公开申请。为落实《条例》确定的政府信息依申请公开制度，本局继续完善政府信息公开申请受理场所，并公布政府信息公开受理机构的联系方式。本局2016年度未收到政府信息公开申请。</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四、复议和诉讼情况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2016年，本局无行政复议或行政诉讼情况。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五、存在的不足及改进措施</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2016年我局的政府信息公开工作圆满完成，取得一定的成绩，但还存在一些问题。</w:t>
      </w:r>
      <w:r>
        <w:rPr>
          <w:rStyle w:val="4"/>
          <w:rFonts w:hint="eastAsia" w:ascii="仿宋_GB2312" w:hAnsi="仿宋_GB2312" w:eastAsia="仿宋_GB2312" w:cs="仿宋_GB2312"/>
          <w:color w:val="505050"/>
          <w:sz w:val="32"/>
          <w:szCs w:val="32"/>
          <w:shd w:val="clear" w:fill="FFFFFF"/>
        </w:rPr>
        <w:t>一是</w:t>
      </w:r>
      <w:r>
        <w:rPr>
          <w:rFonts w:hint="eastAsia" w:ascii="仿宋_GB2312" w:hAnsi="仿宋_GB2312" w:eastAsia="仿宋_GB2312" w:cs="仿宋_GB2312"/>
          <w:color w:val="505050"/>
          <w:sz w:val="32"/>
          <w:szCs w:val="32"/>
          <w:shd w:val="clear" w:fill="FFFFFF"/>
        </w:rPr>
        <w:t>由于政府信息公开办公室各成员部门工作人员变化快，更替频繁，在业务交接期间，政府信息公开工作效率不够高、新接手人员业务还不够熟练，业务素质有待于进一步提高；</w:t>
      </w:r>
      <w:r>
        <w:rPr>
          <w:rStyle w:val="4"/>
          <w:rFonts w:hint="eastAsia" w:ascii="仿宋_GB2312" w:hAnsi="仿宋_GB2312" w:eastAsia="仿宋_GB2312" w:cs="仿宋_GB2312"/>
          <w:color w:val="505050"/>
          <w:sz w:val="32"/>
          <w:szCs w:val="32"/>
          <w:shd w:val="clear" w:fill="FFFFFF"/>
        </w:rPr>
        <w:t>二是</w:t>
      </w:r>
      <w:r>
        <w:rPr>
          <w:rFonts w:hint="eastAsia" w:ascii="仿宋_GB2312" w:hAnsi="仿宋_GB2312" w:eastAsia="仿宋_GB2312" w:cs="仿宋_GB2312"/>
          <w:color w:val="505050"/>
          <w:sz w:val="32"/>
          <w:szCs w:val="32"/>
          <w:shd w:val="clear" w:fill="FFFFFF"/>
        </w:rPr>
        <w:t>信息公开各责任部门对信息公开的重要性认识不够深刻、主动公开信息不够多，信息转换还不够畅通，在制度执行上还有待于进一步加强；</w:t>
      </w:r>
      <w:r>
        <w:rPr>
          <w:rStyle w:val="4"/>
          <w:rFonts w:hint="eastAsia" w:ascii="仿宋_GB2312" w:hAnsi="仿宋_GB2312" w:eastAsia="仿宋_GB2312" w:cs="仿宋_GB2312"/>
          <w:color w:val="505050"/>
          <w:sz w:val="32"/>
          <w:szCs w:val="32"/>
          <w:shd w:val="clear" w:fill="FFFFFF"/>
        </w:rPr>
        <w:t>三是</w:t>
      </w:r>
      <w:r>
        <w:rPr>
          <w:rFonts w:hint="eastAsia" w:ascii="仿宋_GB2312" w:hAnsi="仿宋_GB2312" w:eastAsia="仿宋_GB2312" w:cs="仿宋_GB2312"/>
          <w:color w:val="505050"/>
          <w:sz w:val="32"/>
          <w:szCs w:val="32"/>
          <w:shd w:val="clear" w:fill="FFFFFF"/>
        </w:rPr>
        <w:t>已录入主动公开信息质量还有待进一步提高，主动公开信息类别有待进一步增加，公开形式还需要进一步多样化，信息内容有待于进一步规范。</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针对以上问题，我局将做好以下工作予以改进。</w:t>
      </w:r>
      <w:r>
        <w:rPr>
          <w:rStyle w:val="4"/>
          <w:rFonts w:hint="eastAsia" w:ascii="仿宋_GB2312" w:hAnsi="仿宋_GB2312" w:eastAsia="仿宋_GB2312" w:cs="仿宋_GB2312"/>
          <w:color w:val="505050"/>
          <w:sz w:val="32"/>
          <w:szCs w:val="32"/>
          <w:shd w:val="clear" w:fill="FFFFFF"/>
        </w:rPr>
        <w:t>一是</w:t>
      </w:r>
      <w:r>
        <w:rPr>
          <w:rFonts w:hint="eastAsia" w:ascii="仿宋_GB2312" w:hAnsi="仿宋_GB2312" w:eastAsia="仿宋_GB2312" w:cs="仿宋_GB2312"/>
          <w:color w:val="505050"/>
          <w:sz w:val="32"/>
          <w:szCs w:val="32"/>
          <w:shd w:val="clear" w:fill="FFFFFF"/>
        </w:rPr>
        <w:t>强化培训，邀请政府信息公开上级部门的专业人员分批、分期的对分管此项工作的人员进行培训，提升政府信息公开工作意识，强化工作人员业务素质，提高工作能力。</w:t>
      </w:r>
      <w:r>
        <w:rPr>
          <w:rStyle w:val="4"/>
          <w:rFonts w:hint="eastAsia" w:ascii="仿宋_GB2312" w:hAnsi="仿宋_GB2312" w:eastAsia="仿宋_GB2312" w:cs="仿宋_GB2312"/>
          <w:color w:val="505050"/>
          <w:sz w:val="32"/>
          <w:szCs w:val="32"/>
          <w:shd w:val="clear" w:fill="FFFFFF"/>
        </w:rPr>
        <w:t>二是</w:t>
      </w:r>
      <w:r>
        <w:rPr>
          <w:rFonts w:hint="eastAsia" w:ascii="仿宋_GB2312" w:hAnsi="仿宋_GB2312" w:eastAsia="仿宋_GB2312" w:cs="仿宋_GB2312"/>
          <w:color w:val="505050"/>
          <w:sz w:val="32"/>
          <w:szCs w:val="32"/>
          <w:shd w:val="clear" w:fill="FFFFFF"/>
        </w:rPr>
        <w:t>进一步建立健全工作机制，规范工作流程，细化量化考核标准，着力提高工作效率。</w:t>
      </w:r>
      <w:r>
        <w:rPr>
          <w:rStyle w:val="4"/>
          <w:rFonts w:hint="eastAsia" w:ascii="仿宋_GB2312" w:hAnsi="仿宋_GB2312" w:eastAsia="仿宋_GB2312" w:cs="仿宋_GB2312"/>
          <w:color w:val="505050"/>
          <w:sz w:val="32"/>
          <w:szCs w:val="32"/>
          <w:shd w:val="clear" w:fill="FFFFFF"/>
        </w:rPr>
        <w:t>三是</w:t>
      </w:r>
      <w:r>
        <w:rPr>
          <w:rFonts w:hint="eastAsia" w:ascii="仿宋_GB2312" w:hAnsi="仿宋_GB2312" w:eastAsia="仿宋_GB2312" w:cs="仿宋_GB2312"/>
          <w:color w:val="505050"/>
          <w:sz w:val="32"/>
          <w:szCs w:val="32"/>
          <w:shd w:val="clear" w:fill="FFFFFF"/>
        </w:rPr>
        <w:t>从加强信息收集，扩展信息内容、规范信息整理、审查等基础工作入手，进一步做好信息公开工作，提高工作质量，使公开的信息成为政府工作的有力帮手。</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 </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 </w:t>
      </w:r>
    </w:p>
    <w:p>
      <w:pPr>
        <w:pStyle w:val="2"/>
        <w:keepNext w:val="0"/>
        <w:keepLines w:val="0"/>
        <w:widowControl/>
        <w:suppressLineNumbers w:val="0"/>
        <w:spacing w:before="226" w:beforeAutospacing="0" w:after="0" w:afterAutospacing="0" w:line="360" w:lineRule="atLeast"/>
        <w:ind w:left="0" w:right="0" w:firstLine="420"/>
        <w:jc w:val="righ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大兴区城市管理综合行政执法监察局</w:t>
      </w:r>
    </w:p>
    <w:p>
      <w:pPr>
        <w:pStyle w:val="2"/>
        <w:keepNext w:val="0"/>
        <w:keepLines w:val="0"/>
        <w:widowControl/>
        <w:suppressLineNumbers w:val="0"/>
        <w:spacing w:before="226" w:beforeAutospacing="0" w:after="0" w:afterAutospacing="0" w:line="360" w:lineRule="atLeast"/>
        <w:ind w:left="0" w:right="0" w:firstLine="420"/>
        <w:jc w:val="righ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二〇一七年三月</w:t>
      </w:r>
    </w:p>
    <w:p>
      <w:pPr>
        <w:pStyle w:val="9"/>
      </w:pPr>
      <w:r>
        <w:t>窗体底端</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491BA6"/>
    <w:rsid w:val="70491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0000"/>
      <w:u w:val="none"/>
    </w:rPr>
  </w:style>
  <w:style w:type="character" w:styleId="6">
    <w:name w:val="Hyperlink"/>
    <w:basedOn w:val="3"/>
    <w:uiPriority w:val="0"/>
    <w:rPr>
      <w:color w:val="000000"/>
      <w:u w:val="none"/>
    </w:rPr>
  </w:style>
  <w:style w:type="paragraph" w:styleId="8">
    <w:name w:val=""/>
    <w:basedOn w:val="1"/>
    <w:next w:val="1"/>
    <w:uiPriority w:val="0"/>
    <w:pPr>
      <w:pBdr>
        <w:bottom w:val="single" w:color="auto" w:sz="6" w:space="1"/>
      </w:pBdr>
      <w:jc w:val="center"/>
    </w:pPr>
    <w:rPr>
      <w:rFonts w:ascii="Arial" w:eastAsia="宋体"/>
      <w:vanish/>
      <w:sz w:val="16"/>
    </w:rPr>
  </w:style>
  <w:style w:type="paragraph" w:styleId="9">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2019-11-21T08:16:00Z</dcterms:created>
  <dc:creator>杨静</dc:creator>
  <cp:lastModifiedBy>杨静</cp:lastModifiedBy>
  <dcterms:modified xsi:type="dcterms:W3CDTF">2019-11-21T08:17:14Z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