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djustRightInd w:val="0"/>
        <w:spacing w:beforeLines="100" w:afterLines="100" w:line="560" w:lineRule="exact"/>
        <w:jc w:val="center"/>
        <w:rPr>
          <w:rFonts w:ascii="华文中宋" w:hAnsi="华文中宋" w:eastAsia="华文中宋"/>
          <w:b/>
          <w:color w:val="auto"/>
          <w:sz w:val="52"/>
          <w:szCs w:val="52"/>
        </w:rPr>
      </w:pPr>
      <w:r>
        <w:rPr>
          <w:rFonts w:hint="eastAsia" w:ascii="华文中宋" w:hAnsi="华文中宋" w:eastAsia="华文中宋"/>
          <w:b/>
          <w:color w:val="auto"/>
          <w:szCs w:val="44"/>
        </w:rPr>
        <w:t>北京市大兴区天宫院街道办事处政府信息公开2015年度报告</w:t>
      </w:r>
    </w:p>
    <w:p>
      <w:pPr>
        <w:widowControl/>
        <w:spacing w:line="560" w:lineRule="exact"/>
        <w:ind w:firstLine="640" w:firstLineChars="200"/>
        <w:outlineLvl w:val="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本报告是根据《中华人民共和国政府信息公开条例》（以下</w:t>
      </w:r>
      <w:r>
        <w:rPr>
          <w:rFonts w:hint="eastAsia" w:ascii="仿宋_GB2312" w:hAnsi="宋体" w:eastAsia="仿宋_GB2312"/>
          <w:sz w:val="32"/>
          <w:szCs w:val="32"/>
        </w:rPr>
        <w:t>简称《条例》）要求</w:t>
      </w:r>
      <w:r>
        <w:rPr>
          <w:rFonts w:hint="eastAsia" w:ascii="仿宋_GB2312" w:hAnsi="宋体" w:eastAsia="仿宋_GB2312"/>
          <w:color w:val="000000"/>
          <w:sz w:val="32"/>
          <w:szCs w:val="32"/>
        </w:rPr>
        <w:t>，由北京市大兴区天宫院街道办事处编</w:t>
      </w:r>
      <w:r>
        <w:rPr>
          <w:rFonts w:hint="eastAsia" w:ascii="仿宋_GB2312" w:hAnsi="宋体" w:eastAsia="仿宋_GB2312" w:cs="宋体"/>
          <w:color w:val="000000"/>
          <w:kern w:val="0"/>
          <w:sz w:val="32"/>
          <w:szCs w:val="32"/>
        </w:rPr>
        <w:t>制的2015年度政府信息公开年度报告。</w:t>
      </w:r>
    </w:p>
    <w:p>
      <w:pPr>
        <w:widowControl/>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kern w:val="0"/>
          <w:sz w:val="32"/>
          <w:szCs w:val="32"/>
        </w:rPr>
        <w:t>全文包括概述，主动公开政府信息的情况，依申请公开政府信息和不予公开政府信息的情况，因政府信息公开申请行政复议、提起行政诉讼的情况，政府信息公开工作存在不足及改进措施。</w:t>
      </w:r>
    </w:p>
    <w:p>
      <w:pPr>
        <w:widowControl/>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kern w:val="0"/>
          <w:sz w:val="32"/>
          <w:szCs w:val="32"/>
        </w:rPr>
        <w:t>本报告中所列数据的统计期限自2015年1月1日起至2015年12月31日止。本报告的电子</w:t>
      </w:r>
      <w:r>
        <w:rPr>
          <w:rFonts w:hint="eastAsia" w:ascii="仿宋_GB2312" w:hAnsi="宋体" w:eastAsia="仿宋_GB2312" w:cs="宋体"/>
          <w:spacing w:val="-2"/>
          <w:kern w:val="0"/>
          <w:sz w:val="32"/>
          <w:szCs w:val="32"/>
        </w:rPr>
        <w:t>版可在大兴信息网（</w:t>
      </w:r>
      <w:r>
        <w:rPr>
          <w:rFonts w:ascii="仿宋_GB2312" w:hAnsi="宋体" w:eastAsia="仿宋_GB2312" w:cs="宋体"/>
          <w:color w:val="000000"/>
          <w:spacing w:val="-12"/>
          <w:kern w:val="0"/>
          <w:sz w:val="32"/>
          <w:szCs w:val="32"/>
        </w:rPr>
        <w:t>http://www.bjdx.gov.cn/</w:t>
      </w:r>
      <w:r>
        <w:rPr>
          <w:rFonts w:hint="eastAsia" w:ascii="仿宋_GB2312" w:hAnsi="宋体" w:eastAsia="仿宋_GB2312" w:cs="宋体"/>
          <w:spacing w:val="-2"/>
          <w:kern w:val="0"/>
          <w:sz w:val="32"/>
          <w:szCs w:val="32"/>
        </w:rPr>
        <w:t>）信息公开栏目中下载。</w:t>
      </w:r>
      <w:r>
        <w:rPr>
          <w:rFonts w:hint="eastAsia" w:ascii="仿宋_GB2312" w:hAnsi="宋体" w:eastAsia="仿宋_GB2312" w:cs="宋体"/>
          <w:kern w:val="0"/>
          <w:sz w:val="32"/>
          <w:szCs w:val="32"/>
        </w:rPr>
        <w:t>如对报告有任何疑问，请与</w:t>
      </w:r>
      <w:r>
        <w:rPr>
          <w:rFonts w:hint="eastAsia" w:ascii="仿宋_GB2312" w:hAnsi="宋体" w:eastAsia="仿宋_GB2312" w:cs="宋体"/>
          <w:color w:val="000000"/>
          <w:kern w:val="0"/>
          <w:sz w:val="32"/>
          <w:szCs w:val="32"/>
        </w:rPr>
        <w:t>天宫院街道办事处</w:t>
      </w:r>
      <w:r>
        <w:rPr>
          <w:rFonts w:hint="eastAsia" w:ascii="仿宋_GB2312" w:hAnsi="宋体" w:eastAsia="仿宋_GB2312" w:cs="宋体"/>
          <w:kern w:val="0"/>
          <w:sz w:val="32"/>
          <w:szCs w:val="32"/>
        </w:rPr>
        <w:t>联系（地址:北京市大兴区</w:t>
      </w:r>
      <w:r>
        <w:rPr>
          <w:rFonts w:hint="eastAsia" w:ascii="仿宋_GB2312" w:hAnsi="宋体" w:eastAsia="仿宋_GB2312" w:cs="宋体"/>
          <w:color w:val="000000"/>
          <w:kern w:val="0"/>
          <w:sz w:val="32"/>
          <w:szCs w:val="32"/>
        </w:rPr>
        <w:t>黄良路东口天宫院街道办事处</w:t>
      </w:r>
      <w:r>
        <w:rPr>
          <w:rFonts w:hint="eastAsia" w:ascii="仿宋_GB2312" w:hAnsi="宋体" w:eastAsia="仿宋_GB2312" w:cs="宋体"/>
          <w:kern w:val="0"/>
          <w:sz w:val="32"/>
          <w:szCs w:val="32"/>
        </w:rPr>
        <w:t>；邮编：</w:t>
      </w:r>
      <w:r>
        <w:rPr>
          <w:rFonts w:hint="eastAsia" w:ascii="仿宋_GB2312" w:hAnsi="宋体" w:eastAsia="仿宋_GB2312" w:cs="宋体"/>
          <w:color w:val="000000"/>
          <w:kern w:val="0"/>
          <w:sz w:val="32"/>
          <w:szCs w:val="32"/>
        </w:rPr>
        <w:t>102629</w:t>
      </w:r>
      <w:r>
        <w:rPr>
          <w:rFonts w:hint="eastAsia" w:ascii="仿宋_GB2312" w:hAnsi="宋体" w:eastAsia="仿宋_GB2312" w:cs="宋体"/>
          <w:kern w:val="0"/>
          <w:sz w:val="32"/>
          <w:szCs w:val="32"/>
        </w:rPr>
        <w:t>；</w:t>
      </w:r>
      <w:r>
        <w:rPr>
          <w:rFonts w:hint="eastAsia" w:ascii="仿宋_GB2312" w:hAnsi="宋体" w:eastAsia="仿宋_GB2312" w:cs="宋体"/>
          <w:spacing w:val="-12"/>
          <w:kern w:val="15"/>
          <w:sz w:val="32"/>
          <w:szCs w:val="32"/>
        </w:rPr>
        <w:t>联系电话：010-</w:t>
      </w:r>
      <w:r>
        <w:rPr>
          <w:rFonts w:hint="eastAsia" w:ascii="仿宋_GB2312" w:hAnsi="宋体" w:eastAsia="仿宋_GB2312" w:cs="宋体"/>
          <w:color w:val="000000"/>
          <w:kern w:val="0"/>
          <w:sz w:val="32"/>
          <w:szCs w:val="32"/>
        </w:rPr>
        <w:t>61250500</w:t>
      </w:r>
      <w:r>
        <w:rPr>
          <w:rFonts w:hint="eastAsia" w:ascii="仿宋_GB2312" w:hAnsi="宋体" w:eastAsia="仿宋_GB2312" w:cs="宋体"/>
          <w:spacing w:val="-12"/>
          <w:kern w:val="15"/>
          <w:sz w:val="32"/>
          <w:szCs w:val="32"/>
        </w:rPr>
        <w:t>；电子邮箱：</w:t>
      </w:r>
      <w:r>
        <w:rPr>
          <w:rFonts w:hint="eastAsia" w:ascii="仿宋_GB2312" w:hAnsi="宋体" w:eastAsia="仿宋_GB2312" w:cs="宋体"/>
          <w:color w:val="000000"/>
          <w:kern w:val="0"/>
          <w:sz w:val="32"/>
          <w:szCs w:val="32"/>
        </w:rPr>
        <w:t>tgydzb</w:t>
      </w:r>
      <w:r>
        <w:rPr>
          <w:rFonts w:hint="eastAsia" w:ascii="仿宋_GB2312" w:hAnsi="宋体" w:eastAsia="仿宋_GB2312" w:cs="宋体"/>
          <w:spacing w:val="-12"/>
          <w:kern w:val="15"/>
          <w:sz w:val="32"/>
          <w:szCs w:val="32"/>
        </w:rPr>
        <w:t>@</w:t>
      </w:r>
      <w:r>
        <w:rPr>
          <w:rFonts w:hint="eastAsia" w:ascii="仿宋_GB2312" w:hAnsi="宋体" w:eastAsia="仿宋_GB2312" w:cs="宋体"/>
          <w:color w:val="000000"/>
          <w:kern w:val="0"/>
          <w:sz w:val="32"/>
          <w:szCs w:val="32"/>
        </w:rPr>
        <w:t>126.com</w:t>
      </w:r>
      <w:r>
        <w:rPr>
          <w:rFonts w:hint="eastAsia" w:ascii="仿宋_GB2312" w:hAnsi="宋体" w:eastAsia="仿宋_GB2312" w:cs="宋体"/>
          <w:spacing w:val="-12"/>
          <w:kern w:val="15"/>
          <w:sz w:val="32"/>
          <w:szCs w:val="32"/>
        </w:rPr>
        <w:t>）。</w:t>
      </w:r>
    </w:p>
    <w:p>
      <w:pPr>
        <w:widowControl/>
        <w:spacing w:afterLines="100" w:line="560" w:lineRule="exact"/>
        <w:jc w:val="both"/>
        <w:rPr>
          <w:rFonts w:ascii="仿宋_GB2312" w:hAnsi="宋体" w:eastAsia="仿宋_GB2312" w:cs="宋体"/>
          <w:color w:val="000000"/>
          <w:kern w:val="0"/>
          <w:sz w:val="32"/>
          <w:szCs w:val="32"/>
        </w:rPr>
      </w:pPr>
      <w:r>
        <w:rPr>
          <w:rFonts w:hint="eastAsia" w:ascii="黑体" w:hAnsi="宋体" w:eastAsia="黑体" w:cs="宋体"/>
          <w:color w:val="000000"/>
          <w:kern w:val="0"/>
          <w:sz w:val="32"/>
          <w:szCs w:val="32"/>
        </w:rPr>
        <w:t>一、概述</w:t>
      </w:r>
    </w:p>
    <w:p>
      <w:pPr>
        <w:widowControl/>
        <w:spacing w:line="560" w:lineRule="exact"/>
        <w:ind w:firstLine="640" w:firstLineChars="200"/>
        <w:rPr>
          <w:rFonts w:ascii="仿宋_GB2312" w:hAnsi="宋体" w:eastAsia="仿宋_GB2312" w:cs="宋体"/>
          <w:kern w:val="0"/>
          <w:sz w:val="32"/>
          <w:szCs w:val="32"/>
        </w:rPr>
      </w:pPr>
      <w:r>
        <w:rPr>
          <w:rFonts w:hint="eastAsia" w:ascii="仿宋_GB2312" w:eastAsia="仿宋_GB2312"/>
          <w:sz w:val="32"/>
          <w:szCs w:val="32"/>
        </w:rPr>
        <w:t>2015年，天宫院街道工委、办事处对政府信息公开工作统筹推进，强化措施，“天宫院街道政府信息公开” 工作领导小组按照2015年年初制定的政府信息公开工作计划，由街道党政办公室、社区服务中心负责政府信息公开材料的收集、汇总、审核、公布等工作</w:t>
      </w:r>
      <w:r>
        <w:rPr>
          <w:rFonts w:hint="eastAsia" w:ascii="仿宋_GB2312" w:hAnsi="宋体" w:eastAsia="仿宋_GB2312" w:cs="宋体"/>
          <w:kern w:val="0"/>
          <w:sz w:val="32"/>
          <w:szCs w:val="32"/>
        </w:rPr>
        <w:t>。</w:t>
      </w:r>
    </w:p>
    <w:p>
      <w:pPr>
        <w:widowControl/>
        <w:spacing w:line="560" w:lineRule="exact"/>
        <w:ind w:firstLine="800" w:firstLineChars="250"/>
        <w:rPr>
          <w:rFonts w:ascii="仿宋_GB2312" w:eastAsia="仿宋_GB2312"/>
          <w:sz w:val="32"/>
          <w:szCs w:val="32"/>
        </w:rPr>
      </w:pPr>
      <w:r>
        <w:rPr>
          <w:rFonts w:hint="eastAsia" w:ascii="仿宋_GB2312" w:eastAsia="仿宋_GB2312"/>
          <w:sz w:val="32"/>
          <w:szCs w:val="32"/>
        </w:rPr>
        <w:t>根据《中华人民共和国政府信息公开条例》要求，我街道认真做好政府信息公开指南编制、街道的政府信息内容清理、界定工作，按照政府信息模式和规定的程序纳入政府信息公开目录并主动公开在北京市政府信息公开管理系统、天宫院街道网站上。同时，积极探索政府信息公开工作机制，明确职责、程序、公开方式和时限要求，畅通诉求和监督渠道，完善政府信息公开渠道，完善行政权力网上公开透明运行，广泛听取群众意见，自觉接受群众监督。</w:t>
      </w:r>
    </w:p>
    <w:p>
      <w:pPr>
        <w:widowControl/>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eastAsia="仿宋_GB2312"/>
          <w:sz w:val="32"/>
          <w:szCs w:val="32"/>
        </w:rPr>
        <w:t>通过加大对政府信息公开工作人员的培训力度，提高对《条例》的贯彻执行能力。</w:t>
      </w:r>
      <w:r>
        <w:rPr>
          <w:rFonts w:hint="eastAsia" w:ascii="仿宋_GB2312" w:hAnsi="宋体" w:eastAsia="仿宋_GB2312" w:cs="宋体"/>
          <w:kern w:val="0"/>
          <w:sz w:val="32"/>
          <w:szCs w:val="32"/>
        </w:rPr>
        <w:t>2015年街道在北京市政府信息公开工作管理系统统计，通过工作平台、政务公开、便民信息、办事指南等栏目，发布各类信息</w:t>
      </w:r>
      <w:r>
        <w:rPr>
          <w:rFonts w:hint="eastAsia" w:ascii="仿宋_GB2312" w:hAnsi="宋体" w:eastAsia="仿宋_GB2312" w:cs="宋体"/>
          <w:color w:val="000000"/>
          <w:kern w:val="0"/>
          <w:sz w:val="32"/>
          <w:szCs w:val="32"/>
        </w:rPr>
        <w:t>1693</w:t>
      </w:r>
      <w:r>
        <w:rPr>
          <w:rFonts w:hint="eastAsia" w:ascii="仿宋_GB2312" w:hAnsi="宋体" w:eastAsia="仿宋_GB2312" w:cs="宋体"/>
          <w:kern w:val="0"/>
          <w:sz w:val="32"/>
          <w:szCs w:val="32"/>
        </w:rPr>
        <w:t>条；通过街道网站公布各类信息</w:t>
      </w:r>
      <w:r>
        <w:rPr>
          <w:rFonts w:ascii="仿宋_GB2312" w:hAnsi="宋体" w:eastAsia="仿宋_GB2312" w:cs="宋体"/>
          <w:color w:val="000000"/>
          <w:kern w:val="0"/>
          <w:sz w:val="32"/>
          <w:szCs w:val="32"/>
        </w:rPr>
        <w:t>683</w:t>
      </w:r>
      <w:r>
        <w:rPr>
          <w:rFonts w:hint="eastAsia" w:ascii="仿宋_GB2312" w:hAnsi="宋体" w:eastAsia="仿宋_GB2312" w:cs="宋体"/>
          <w:kern w:val="0"/>
          <w:sz w:val="32"/>
          <w:szCs w:val="32"/>
        </w:rPr>
        <w:t>条，通过街道微信平台发布各类信息234条，实现信息的实时发布、浏览，实现与社区居民及社会各界的</w:t>
      </w:r>
      <w:r>
        <w:rPr>
          <w:rFonts w:hint="eastAsia" w:ascii="仿宋_GB2312" w:hAnsi="宋体" w:eastAsia="仿宋_GB2312" w:cs="宋体"/>
          <w:color w:val="000000"/>
          <w:kern w:val="0"/>
          <w:sz w:val="32"/>
          <w:szCs w:val="32"/>
        </w:rPr>
        <w:t>信息交流。</w:t>
      </w:r>
    </w:p>
    <w:p>
      <w:pPr>
        <w:widowControl/>
        <w:spacing w:line="560" w:lineRule="exact"/>
        <w:rPr>
          <w:rFonts w:ascii="黑体" w:hAnsi="宋体" w:eastAsia="黑体" w:cs="宋体"/>
          <w:color w:val="000000"/>
          <w:kern w:val="0"/>
          <w:sz w:val="32"/>
          <w:szCs w:val="32"/>
        </w:rPr>
      </w:pPr>
      <w:r>
        <w:rPr>
          <w:rFonts w:hint="eastAsia" w:ascii="黑体" w:hAnsi="宋体" w:eastAsia="黑体" w:cs="宋体"/>
          <w:color w:val="000000"/>
          <w:kern w:val="0"/>
          <w:sz w:val="32"/>
          <w:szCs w:val="32"/>
        </w:rPr>
        <w:t>二、主动公开情况</w:t>
      </w:r>
    </w:p>
    <w:p>
      <w:pPr>
        <w:widowControl/>
        <w:spacing w:line="56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按照《条例》第9至12条规定的主动公开政府信息范围，本街道开展了信息清理和目录编制工作，并按照《条例》第15条规定，通过街道网站、信息公开平台和街道公共微信平台等便于公众知晓的方式主动公开。按照《条例》 第16条规定，继续完善政府信息公开大厅等政府信息公开查阅场所，为公民、法人或者其他组织获取政府信息提供便利。</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（一）主动公开数据</w:t>
      </w:r>
    </w:p>
    <w:p>
      <w:pPr>
        <w:widowControl/>
        <w:spacing w:line="56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2015年主动公开政府信息数</w:t>
      </w:r>
      <w:r>
        <w:rPr>
          <w:rFonts w:hint="eastAsia" w:ascii="仿宋_GB2312" w:hAnsi="宋体" w:eastAsia="仿宋_GB2312" w:cs="宋体"/>
          <w:kern w:val="0"/>
          <w:sz w:val="32"/>
          <w:szCs w:val="32"/>
        </w:rPr>
        <w:t>1693</w:t>
      </w:r>
      <w:r>
        <w:rPr>
          <w:rFonts w:hint="eastAsia" w:ascii="仿宋_GB2312" w:hAnsi="华文中宋" w:eastAsia="仿宋_GB2312"/>
          <w:sz w:val="32"/>
          <w:szCs w:val="32"/>
        </w:rPr>
        <w:t>条。其中，机构职能类信息</w:t>
      </w:r>
      <w:r>
        <w:rPr>
          <w:rFonts w:hint="eastAsia" w:ascii="仿宋_GB2312" w:hAnsi="宋体" w:eastAsia="仿宋_GB2312" w:cs="宋体"/>
          <w:kern w:val="0"/>
          <w:sz w:val="32"/>
          <w:szCs w:val="32"/>
        </w:rPr>
        <w:t>14</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rPr>
        <w:t>0.83</w:t>
      </w:r>
      <w:r>
        <w:rPr>
          <w:rFonts w:ascii="仿宋_GB2312" w:hAnsi="华文中宋" w:eastAsia="仿宋_GB2312"/>
          <w:sz w:val="32"/>
          <w:szCs w:val="32"/>
        </w:rPr>
        <w:t>%</w:t>
      </w:r>
      <w:r>
        <w:rPr>
          <w:rFonts w:hint="eastAsia" w:ascii="仿宋_GB2312" w:hAnsi="华文中宋" w:eastAsia="仿宋_GB2312"/>
          <w:sz w:val="32"/>
          <w:szCs w:val="32"/>
        </w:rPr>
        <w:t>；法规文件类信息</w:t>
      </w:r>
      <w:r>
        <w:rPr>
          <w:rFonts w:hint="eastAsia" w:ascii="仿宋_GB2312" w:hAnsi="宋体" w:eastAsia="仿宋_GB2312" w:cs="宋体"/>
          <w:kern w:val="0"/>
          <w:sz w:val="32"/>
          <w:szCs w:val="32"/>
        </w:rPr>
        <w:t>2</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rPr>
        <w:t>0. 12</w:t>
      </w:r>
      <w:r>
        <w:rPr>
          <w:rFonts w:ascii="仿宋_GB2312" w:hAnsi="华文中宋" w:eastAsia="仿宋_GB2312"/>
          <w:sz w:val="32"/>
          <w:szCs w:val="32"/>
        </w:rPr>
        <w:t>%</w:t>
      </w:r>
      <w:r>
        <w:rPr>
          <w:rFonts w:hint="eastAsia" w:ascii="仿宋_GB2312" w:hAnsi="华文中宋" w:eastAsia="仿宋_GB2312"/>
          <w:sz w:val="32"/>
          <w:szCs w:val="32"/>
        </w:rPr>
        <w:t>；规划计划类信息</w:t>
      </w:r>
      <w:r>
        <w:rPr>
          <w:rFonts w:hint="eastAsia" w:ascii="仿宋_GB2312" w:hAnsi="宋体" w:eastAsia="仿宋_GB2312" w:cs="宋体"/>
          <w:kern w:val="0"/>
          <w:sz w:val="32"/>
          <w:szCs w:val="32"/>
        </w:rPr>
        <w:t>1</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rPr>
        <w:t>0.06</w:t>
      </w:r>
      <w:r>
        <w:rPr>
          <w:rFonts w:ascii="仿宋_GB2312" w:hAnsi="华文中宋" w:eastAsia="仿宋_GB2312"/>
          <w:sz w:val="32"/>
          <w:szCs w:val="32"/>
        </w:rPr>
        <w:t>%</w:t>
      </w:r>
      <w:r>
        <w:rPr>
          <w:rFonts w:hint="eastAsia" w:ascii="仿宋_GB2312" w:hAnsi="华文中宋" w:eastAsia="仿宋_GB2312"/>
          <w:sz w:val="32"/>
          <w:szCs w:val="32"/>
        </w:rPr>
        <w:t>；行政职责类信息</w:t>
      </w:r>
      <w:r>
        <w:rPr>
          <w:rFonts w:hint="eastAsia" w:ascii="仿宋_GB2312" w:hAnsi="宋体" w:eastAsia="仿宋_GB2312" w:cs="宋体"/>
          <w:kern w:val="0"/>
          <w:sz w:val="32"/>
          <w:szCs w:val="32"/>
        </w:rPr>
        <w:t>1</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rPr>
        <w:t>0.06</w:t>
      </w:r>
      <w:r>
        <w:rPr>
          <w:rFonts w:ascii="仿宋_GB2312" w:hAnsi="华文中宋" w:eastAsia="仿宋_GB2312"/>
          <w:sz w:val="32"/>
          <w:szCs w:val="32"/>
        </w:rPr>
        <w:t>%</w:t>
      </w:r>
      <w:r>
        <w:rPr>
          <w:rFonts w:hint="eastAsia" w:ascii="仿宋_GB2312" w:hAnsi="华文中宋" w:eastAsia="仿宋_GB2312"/>
          <w:sz w:val="32"/>
          <w:szCs w:val="32"/>
        </w:rPr>
        <w:t>；业务动态类信息</w:t>
      </w:r>
      <w:r>
        <w:rPr>
          <w:rFonts w:hint="eastAsia" w:ascii="仿宋_GB2312" w:hAnsi="宋体" w:eastAsia="仿宋_GB2312" w:cs="宋体"/>
          <w:kern w:val="0"/>
          <w:sz w:val="32"/>
          <w:szCs w:val="32"/>
        </w:rPr>
        <w:t>1668</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rPr>
        <w:t>98.5</w:t>
      </w:r>
      <w:r>
        <w:rPr>
          <w:rFonts w:ascii="仿宋_GB2312" w:hAnsi="华文中宋" w:eastAsia="仿宋_GB2312"/>
          <w:sz w:val="32"/>
          <w:szCs w:val="32"/>
        </w:rPr>
        <w:t>%</w:t>
      </w:r>
      <w:r>
        <w:rPr>
          <w:rFonts w:hint="eastAsia" w:ascii="仿宋_GB2312" w:hAnsi="华文中宋" w:eastAsia="仿宋_GB2312"/>
          <w:sz w:val="32"/>
          <w:szCs w:val="32"/>
        </w:rPr>
        <w:t>。</w:t>
      </w:r>
    </w:p>
    <w:p>
      <w:pPr>
        <w:widowControl/>
        <w:spacing w:line="56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重点领域公开政府信息数</w:t>
      </w:r>
      <w:r>
        <w:rPr>
          <w:rFonts w:hint="eastAsia" w:ascii="仿宋_GB2312" w:hAnsi="宋体" w:eastAsia="仿宋_GB2312" w:cs="宋体"/>
          <w:kern w:val="0"/>
          <w:sz w:val="32"/>
          <w:szCs w:val="32"/>
        </w:rPr>
        <w:t>25</w:t>
      </w:r>
      <w:r>
        <w:rPr>
          <w:rFonts w:hint="eastAsia" w:ascii="仿宋_GB2312" w:hAnsi="华文中宋" w:eastAsia="仿宋_GB2312"/>
          <w:sz w:val="32"/>
          <w:szCs w:val="32"/>
        </w:rPr>
        <w:t>条。主动公开招投标违法违规行为及处理情况、国有资金占控股或者主导地位依法应当招标的项目等信息数</w:t>
      </w:r>
      <w:r>
        <w:rPr>
          <w:rFonts w:hint="eastAsia" w:ascii="仿宋_GB2312" w:hAnsi="宋体" w:eastAsia="仿宋_GB2312" w:cs="宋体"/>
          <w:kern w:val="0"/>
          <w:sz w:val="32"/>
          <w:szCs w:val="32"/>
        </w:rPr>
        <w:t>25</w:t>
      </w:r>
      <w:r>
        <w:rPr>
          <w:rFonts w:hint="eastAsia" w:ascii="仿宋_GB2312" w:hAnsi="华文中宋" w:eastAsia="仿宋_GB2312"/>
          <w:sz w:val="32"/>
          <w:szCs w:val="32"/>
        </w:rPr>
        <w:t>条。</w:t>
      </w:r>
    </w:p>
    <w:p>
      <w:pPr>
        <w:widowControl/>
        <w:spacing w:line="560" w:lineRule="exact"/>
        <w:ind w:firstLine="640" w:firstLineChars="200"/>
        <w:rPr>
          <w:rFonts w:ascii="仿宋_GB2312" w:hAnsi="宋体" w:eastAsia="仿宋_GB2312" w:cs="宋体"/>
          <w:color w:val="000000"/>
          <w:kern w:val="0"/>
          <w:sz w:val="32"/>
          <w:szCs w:val="32"/>
        </w:rPr>
      </w:pPr>
      <w:r>
        <w:rPr>
          <w:rFonts w:hint="eastAsia" w:ascii="仿宋_GB2312" w:hAnsi="华文中宋" w:eastAsia="仿宋_GB2312"/>
          <w:sz w:val="32"/>
          <w:szCs w:val="32"/>
        </w:rPr>
        <w:t>通过不同渠道和方式公开政府信息的情况，包括政府网站公开政府信息数</w:t>
      </w:r>
      <w:r>
        <w:rPr>
          <w:rFonts w:hint="eastAsia" w:ascii="仿宋_GB2312" w:hAnsi="宋体" w:eastAsia="仿宋_GB2312" w:cs="宋体"/>
          <w:kern w:val="0"/>
          <w:sz w:val="32"/>
          <w:szCs w:val="32"/>
        </w:rPr>
        <w:t>683</w:t>
      </w:r>
      <w:r>
        <w:rPr>
          <w:rFonts w:hint="eastAsia" w:ascii="仿宋_GB2312" w:hAnsi="华文中宋" w:eastAsia="仿宋_GB2312"/>
          <w:sz w:val="32"/>
          <w:szCs w:val="32"/>
        </w:rPr>
        <w:t>条；政务微信公开政府信息数</w:t>
      </w:r>
      <w:r>
        <w:rPr>
          <w:rFonts w:hint="eastAsia" w:ascii="仿宋_GB2312" w:hAnsi="宋体" w:eastAsia="仿宋_GB2312" w:cs="宋体"/>
          <w:kern w:val="0"/>
          <w:sz w:val="32"/>
          <w:szCs w:val="32"/>
        </w:rPr>
        <w:t>234</w:t>
      </w:r>
      <w:r>
        <w:rPr>
          <w:rFonts w:hint="eastAsia" w:ascii="仿宋_GB2312" w:hAnsi="华文中宋" w:eastAsia="仿宋_GB2312"/>
          <w:sz w:val="32"/>
          <w:szCs w:val="32"/>
        </w:rPr>
        <w:t>条。</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（二）回应解读</w:t>
      </w:r>
      <w:r>
        <w:rPr>
          <w:rFonts w:ascii="楷体_GB2312" w:hAnsi="宋体" w:eastAsia="楷体_GB2312" w:cs="宋体"/>
          <w:b/>
          <w:kern w:val="0"/>
          <w:sz w:val="32"/>
          <w:szCs w:val="32"/>
        </w:rPr>
        <w:t>情况</w:t>
      </w:r>
    </w:p>
    <w:p>
      <w:pPr>
        <w:widowControl/>
        <w:spacing w:line="560" w:lineRule="exact"/>
        <w:ind w:firstLine="640" w:firstLineChars="200"/>
        <w:rPr>
          <w:rFonts w:ascii="仿宋_GB2312" w:hAnsi="宋体" w:eastAsia="仿宋_GB2312"/>
          <w:i/>
          <w:color w:val="0000FF"/>
          <w:sz w:val="32"/>
          <w:szCs w:val="32"/>
        </w:rPr>
      </w:pPr>
      <w:r>
        <w:rPr>
          <w:rFonts w:hint="eastAsia" w:ascii="仿宋_GB2312" w:eastAsia="仿宋_GB2312"/>
          <w:sz w:val="32"/>
          <w:szCs w:val="32"/>
        </w:rPr>
        <w:t>回应公众关注热点或重大舆情数</w:t>
      </w:r>
      <w:r>
        <w:rPr>
          <w:rFonts w:hint="eastAsia" w:ascii="仿宋_GB2312" w:hAnsi="宋体" w:eastAsia="仿宋_GB2312" w:cs="宋体"/>
          <w:kern w:val="0"/>
          <w:sz w:val="32"/>
          <w:szCs w:val="32"/>
        </w:rPr>
        <w:t>2</w:t>
      </w:r>
      <w:r>
        <w:rPr>
          <w:rFonts w:hint="eastAsia" w:ascii="仿宋_GB2312" w:eastAsia="仿宋_GB2312"/>
          <w:sz w:val="32"/>
          <w:szCs w:val="32"/>
        </w:rPr>
        <w:t>次，街道网站留言回复12条；政策解读稿件发布数</w:t>
      </w:r>
      <w:r>
        <w:rPr>
          <w:rFonts w:hint="eastAsia" w:ascii="仿宋_GB2312" w:hAnsi="宋体" w:eastAsia="仿宋_GB2312" w:cs="宋体"/>
          <w:kern w:val="0"/>
          <w:sz w:val="32"/>
          <w:szCs w:val="32"/>
        </w:rPr>
        <w:t>1</w:t>
      </w:r>
      <w:r>
        <w:rPr>
          <w:rFonts w:hint="eastAsia" w:ascii="仿宋_GB2312" w:eastAsia="仿宋_GB2312"/>
          <w:sz w:val="32"/>
          <w:szCs w:val="32"/>
        </w:rPr>
        <w:t>次。</w:t>
      </w:r>
      <w:r>
        <w:rPr>
          <w:rFonts w:ascii="仿宋_GB2312" w:hAnsi="宋体" w:eastAsia="仿宋_GB2312"/>
          <w:i/>
          <w:color w:val="0000FF"/>
          <w:sz w:val="32"/>
          <w:szCs w:val="32"/>
        </w:rPr>
        <w:t xml:space="preserve"> </w:t>
      </w:r>
    </w:p>
    <w:p>
      <w:pPr>
        <w:widowControl/>
        <w:numPr>
          <w:ilvl w:val="0"/>
          <w:numId w:val="1"/>
        </w:numPr>
        <w:spacing w:beforeLines="100" w:afterLines="100" w:line="560" w:lineRule="exact"/>
        <w:jc w:val="both"/>
        <w:outlineLvl w:val="0"/>
        <w:rPr>
          <w:rFonts w:hint="eastAsia" w:ascii="黑体" w:hAnsi="宋体" w:eastAsia="黑体" w:cs="宋体"/>
          <w:kern w:val="0"/>
          <w:sz w:val="32"/>
          <w:szCs w:val="32"/>
        </w:rPr>
      </w:pPr>
      <w:r>
        <w:rPr>
          <w:rFonts w:hint="eastAsia" w:ascii="黑体" w:hAnsi="宋体" w:eastAsia="黑体" w:cs="宋体"/>
          <w:kern w:val="0"/>
          <w:sz w:val="32"/>
          <w:szCs w:val="32"/>
        </w:rPr>
        <w:t>依申请公开情况</w:t>
      </w:r>
    </w:p>
    <w:p>
      <w:pPr>
        <w:widowControl/>
        <w:numPr>
          <w:numId w:val="0"/>
        </w:numPr>
        <w:spacing w:beforeLines="100" w:afterLines="100" w:line="560" w:lineRule="exact"/>
        <w:ind w:firstLine="640" w:firstLineChars="200"/>
        <w:jc w:val="both"/>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按照《条例》第13条规定，</w:t>
      </w:r>
      <w:r>
        <w:rPr>
          <w:rFonts w:hint="eastAsia" w:ascii="仿宋_GB2312" w:hAnsi="华文中宋" w:eastAsia="仿宋_GB2312"/>
          <w:sz w:val="32"/>
          <w:szCs w:val="32"/>
        </w:rPr>
        <w:t>本街道</w:t>
      </w:r>
      <w:r>
        <w:rPr>
          <w:rFonts w:hint="eastAsia" w:ascii="仿宋_GB2312" w:hAnsi="宋体" w:eastAsia="仿宋_GB2312" w:cs="宋体"/>
          <w:kern w:val="0"/>
          <w:sz w:val="32"/>
          <w:szCs w:val="32"/>
        </w:rPr>
        <w:t>自《条例》实施之日起正式受理</w:t>
      </w:r>
      <w:r>
        <w:rPr>
          <w:rFonts w:hint="eastAsia" w:ascii="仿宋_GB2312" w:hAnsi="华文中宋" w:eastAsia="仿宋_GB2312"/>
          <w:sz w:val="32"/>
          <w:szCs w:val="32"/>
        </w:rPr>
        <w:t>公民、法人或者其他组织根据自身生产、生活、科研等特殊需要提出的政府信息公开申请。为落实《条例》确定的政府信息依申请公开制度，本街道</w:t>
      </w:r>
      <w:r>
        <w:rPr>
          <w:rFonts w:hint="eastAsia" w:ascii="仿宋_GB2312" w:hAnsi="宋体" w:eastAsia="仿宋_GB2312" w:cs="宋体"/>
          <w:kern w:val="0"/>
          <w:sz w:val="32"/>
          <w:szCs w:val="32"/>
        </w:rPr>
        <w:t>继续完善政府信息公开申请受理场所，并公布政府信息公开受理机构的联系方式。</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（一）申请情况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2015年度，本街道未接到政府信息公开申请。</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（二）答复情况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2015年度，本街道未接到政府信息公开申请，无答复内容。</w:t>
      </w:r>
    </w:p>
    <w:p>
      <w:pPr>
        <w:widowControl/>
        <w:spacing w:beforeLines="100" w:afterLines="100" w:line="560" w:lineRule="exact"/>
        <w:jc w:val="both"/>
        <w:outlineLvl w:val="0"/>
        <w:rPr>
          <w:rFonts w:ascii="黑体" w:hAnsi="宋体" w:eastAsia="黑体" w:cs="宋体"/>
          <w:kern w:val="0"/>
          <w:sz w:val="32"/>
          <w:szCs w:val="32"/>
        </w:rPr>
      </w:pPr>
      <w:r>
        <w:rPr>
          <w:rFonts w:hint="eastAsia" w:ascii="黑体" w:hAnsi="宋体" w:eastAsia="黑体" w:cs="宋体"/>
          <w:kern w:val="0"/>
          <w:sz w:val="32"/>
          <w:szCs w:val="32"/>
        </w:rPr>
        <w:t>四、复议和诉讼情况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2015年，本街道无行政复议或行政诉讼情况。</w:t>
      </w:r>
    </w:p>
    <w:p>
      <w:pPr>
        <w:widowControl/>
        <w:spacing w:beforeLines="100" w:afterLines="100" w:line="560" w:lineRule="exact"/>
        <w:jc w:val="both"/>
        <w:outlineLvl w:val="0"/>
        <w:rPr>
          <w:rFonts w:ascii="黑体" w:hAnsi="宋体" w:eastAsia="黑体" w:cs="宋体"/>
          <w:kern w:val="0"/>
          <w:sz w:val="32"/>
          <w:szCs w:val="32"/>
        </w:rPr>
      </w:pPr>
      <w:bookmarkStart w:id="0" w:name="_GoBack"/>
      <w:bookmarkEnd w:id="0"/>
      <w:r>
        <w:rPr>
          <w:rFonts w:hint="eastAsia" w:ascii="黑体" w:hAnsi="宋体" w:eastAsia="黑体" w:cs="宋体"/>
          <w:kern w:val="0"/>
          <w:sz w:val="32"/>
          <w:szCs w:val="32"/>
        </w:rPr>
        <w:t>五、存在的不足及改进措施</w:t>
      </w:r>
    </w:p>
    <w:p>
      <w:pPr>
        <w:widowControl/>
        <w:ind w:firstLine="640" w:firstLineChars="200"/>
        <w:rPr>
          <w:rFonts w:ascii="仿宋_GB2312" w:hAnsi="宋体" w:eastAsia="仿宋_GB2312"/>
          <w:sz w:val="32"/>
          <w:szCs w:val="32"/>
        </w:rPr>
      </w:pPr>
      <w:r>
        <w:rPr>
          <w:rFonts w:hint="eastAsia" w:ascii="仿宋_GB2312" w:eastAsia="仿宋_GB2312"/>
          <w:sz w:val="32"/>
          <w:szCs w:val="32"/>
        </w:rPr>
        <w:t>2</w:t>
      </w:r>
      <w:r>
        <w:rPr>
          <w:rFonts w:hint="eastAsia" w:ascii="仿宋_GB2312" w:hAnsi="宋体" w:eastAsia="仿宋_GB2312"/>
          <w:sz w:val="32"/>
          <w:szCs w:val="32"/>
        </w:rPr>
        <w:t>015年街道政府信息公开工作平稳有序开展。但还存在以下不足：一是对信息公开工作内容理解不足，政府信息公开的尺度难以把握。二是街道对市区上级部门提出信息公开的新要求尚需梳理，工作制度还需完善；三是政务公开长效机制有待进一步完善。</w:t>
      </w:r>
    </w:p>
    <w:p>
      <w:pPr>
        <w:ind w:firstLine="640" w:firstLineChars="200"/>
        <w:rPr>
          <w:rFonts w:ascii="仿宋_GB2312" w:hAnsi="宋体" w:eastAsia="仿宋_GB2312"/>
          <w:sz w:val="32"/>
          <w:szCs w:val="32"/>
        </w:rPr>
      </w:pPr>
      <w:r>
        <w:rPr>
          <w:rFonts w:hint="eastAsia" w:ascii="仿宋_GB2312" w:hAnsi="宋体" w:eastAsia="仿宋_GB2312"/>
          <w:sz w:val="32"/>
          <w:szCs w:val="32"/>
        </w:rPr>
        <w:t>针对存在问题和不足，我街道将采取以下措施加以改进：一是进一步规范公开内容，提高公开质量。二是按市区要求不定期修正本单位信息公开制度，做好主动公开信息的保密审查工作，规范政府信息公开专栏建设，完善公开目录体系，及时更新栏目内容，确保网站公开内容规范到位。维护政府信息公开工作的正常秩序。三是对涉及人民群众关心的重大问题，重大信息、决策应及时公开，同时有区别地抓好对内与对外公开，提高公开针对性。加大公开力度及时效，切实丰富政府信息公开的内容。</w:t>
      </w:r>
    </w:p>
    <w:p>
      <w:pPr>
        <w:ind w:firstLine="640" w:firstLineChars="200"/>
        <w:rPr>
          <w:rFonts w:ascii="仿宋_GB2312" w:hAnsi="宋体" w:eastAsia="仿宋_GB2312"/>
          <w:sz w:val="32"/>
          <w:szCs w:val="32"/>
        </w:rPr>
      </w:pPr>
      <w:r>
        <w:rPr>
          <w:rFonts w:hint="eastAsia" w:ascii="仿宋_GB2312" w:hAnsi="宋体" w:eastAsia="仿宋_GB2312"/>
          <w:sz w:val="32"/>
          <w:szCs w:val="32"/>
        </w:rPr>
        <w:t>我街道将继续按照关于政府信息公开工作的各项要求，进一步加强政府信息公开工作，力争在规范化、制度化、程序化等方面取得新进展，加大政府信息工作的宣传力度，妥善处理公开与保密的关系，合理界定信息公开与否的范围，做到积极稳妥，注重时效，优质服务，切实服务社会，方便群众，推进政务的公开、公正、透明。</w:t>
      </w: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ascii="仿宋_GB2312" w:hAnsi="仿宋" w:eastAsia="仿宋_GB2312"/>
          <w:sz w:val="32"/>
          <w:szCs w:val="32"/>
        </w:rPr>
      </w:pPr>
    </w:p>
    <w:p>
      <w:pPr>
        <w:widowControl/>
        <w:spacing w:line="560" w:lineRule="exact"/>
        <w:ind w:left="3599" w:leftChars="1714"/>
        <w:rPr>
          <w:rFonts w:ascii="仿宋_GB2312" w:hAnsi="宋体" w:eastAsia="仿宋_GB2312" w:cs="宋体"/>
          <w:kern w:val="0"/>
          <w:sz w:val="32"/>
          <w:szCs w:val="32"/>
        </w:rPr>
      </w:pPr>
      <w:r>
        <w:rPr>
          <w:rFonts w:hint="eastAsia" w:ascii="仿宋_GB2312" w:hAnsi="宋体" w:eastAsia="仿宋_GB2312" w:cs="宋体"/>
          <w:kern w:val="0"/>
          <w:sz w:val="32"/>
          <w:szCs w:val="32"/>
        </w:rPr>
        <w:t>北京市大兴区天宫院街道办事处</w:t>
      </w:r>
    </w:p>
    <w:p>
      <w:pPr>
        <w:widowControl/>
        <w:spacing w:line="560" w:lineRule="exact"/>
        <w:ind w:left="4469" w:leftChars="2128" w:right="1440"/>
        <w:jc w:val="right"/>
        <w:rPr>
          <w:rFonts w:ascii="仿宋_GB2312" w:hAnsi="宋体" w:eastAsia="仿宋_GB2312" w:cs="宋体"/>
          <w:kern w:val="0"/>
          <w:sz w:val="32"/>
          <w:szCs w:val="32"/>
        </w:rPr>
      </w:pPr>
      <w:r>
        <w:rPr>
          <w:rFonts w:hint="eastAsia" w:ascii="仿宋_GB2312" w:hAnsi="宋体" w:eastAsia="仿宋_GB2312" w:cs="宋体"/>
          <w:kern w:val="0"/>
          <w:sz w:val="32"/>
          <w:szCs w:val="32"/>
        </w:rPr>
        <w:t>二</w:t>
      </w:r>
      <w:r>
        <w:rPr>
          <w:rFonts w:hint="eastAsia" w:ascii="宋体" w:hAnsi="宋体" w:cs="宋体"/>
          <w:kern w:val="0"/>
          <w:sz w:val="32"/>
          <w:szCs w:val="32"/>
        </w:rPr>
        <w:t>〇</w:t>
      </w:r>
      <w:r>
        <w:rPr>
          <w:rFonts w:hint="eastAsia" w:ascii="仿宋_GB2312" w:hAnsi="仿宋_GB2312" w:eastAsia="仿宋_GB2312" w:cs="仿宋_GB2312"/>
          <w:kern w:val="0"/>
          <w:sz w:val="32"/>
          <w:szCs w:val="32"/>
        </w:rPr>
        <w:t>一六年</w:t>
      </w:r>
      <w:r>
        <w:rPr>
          <w:rFonts w:hint="eastAsia" w:ascii="仿宋_GB2312" w:hAnsi="宋体" w:eastAsia="仿宋_GB2312" w:cs="宋体"/>
          <w:kern w:val="0"/>
          <w:sz w:val="32"/>
          <w:szCs w:val="32"/>
        </w:rPr>
        <w:t>三月</w:t>
      </w:r>
    </w:p>
    <w:p>
      <w:pPr>
        <w:spacing w:line="560" w:lineRule="exact"/>
        <w:ind w:firstLine="640" w:firstLineChars="200"/>
        <w:rPr>
          <w:rFonts w:ascii="黑体" w:hAnsi="仿宋_GB2312" w:eastAsia="黑体"/>
          <w:color w:val="000000"/>
          <w:sz w:val="32"/>
          <w:szCs w:val="32"/>
        </w:rPr>
      </w:pPr>
      <w:r>
        <w:rPr>
          <w:rFonts w:ascii="仿宋_GB2312" w:hAnsi="宋体" w:eastAsia="仿宋_GB2312" w:cs="宋体"/>
          <w:kern w:val="0"/>
          <w:sz w:val="32"/>
          <w:szCs w:val="32"/>
        </w:rPr>
        <w:br w:type="page"/>
      </w:r>
      <w:r>
        <w:rPr>
          <w:rFonts w:hint="eastAsia" w:ascii="黑体" w:eastAsia="黑体" w:cs="仿宋_GB2312"/>
          <w:sz w:val="32"/>
          <w:szCs w:val="32"/>
        </w:rPr>
        <w:t>附表：</w:t>
      </w:r>
      <w:r>
        <w:rPr>
          <w:rFonts w:hint="eastAsia" w:ascii="仿宋_GB2312" w:hAnsi="宋体" w:eastAsia="仿宋_GB2312"/>
          <w:i/>
          <w:color w:val="0000FF"/>
          <w:sz w:val="32"/>
          <w:szCs w:val="32"/>
        </w:rPr>
        <w:t>（</w:t>
      </w:r>
      <w:r>
        <w:rPr>
          <w:rFonts w:ascii="仿宋_GB2312" w:hAnsi="宋体" w:eastAsia="仿宋_GB2312"/>
          <w:i/>
          <w:color w:val="0000FF"/>
          <w:sz w:val="32"/>
          <w:szCs w:val="32"/>
        </w:rPr>
        <w:t>请根据本单位实际情况，详细填写此表内容）</w:t>
      </w:r>
    </w:p>
    <w:tbl>
      <w:tblPr>
        <w:tblStyle w:val="10"/>
        <w:tblW w:w="9555" w:type="dxa"/>
        <w:jc w:val="center"/>
        <w:tblInd w:w="0" w:type="dxa"/>
        <w:tblLayout w:type="fixed"/>
        <w:tblCellMar>
          <w:top w:w="0" w:type="dxa"/>
          <w:left w:w="108" w:type="dxa"/>
          <w:bottom w:w="0" w:type="dxa"/>
          <w:right w:w="108" w:type="dxa"/>
        </w:tblCellMar>
      </w:tblPr>
      <w:tblGrid>
        <w:gridCol w:w="7755"/>
        <w:gridCol w:w="720"/>
        <w:gridCol w:w="1080"/>
      </w:tblGrid>
      <w:tr>
        <w:tblPrEx>
          <w:tblLayout w:type="fixed"/>
          <w:tblCellMar>
            <w:top w:w="0" w:type="dxa"/>
            <w:left w:w="108" w:type="dxa"/>
            <w:bottom w:w="0" w:type="dxa"/>
            <w:right w:w="108" w:type="dxa"/>
          </w:tblCellMar>
        </w:tblPrEx>
        <w:trPr>
          <w:trHeight w:val="540" w:hRule="atLeast"/>
          <w:jc w:val="center"/>
        </w:trPr>
        <w:tc>
          <w:tcPr>
            <w:tcW w:w="9555" w:type="dxa"/>
            <w:gridSpan w:val="3"/>
            <w:tcBorders>
              <w:top w:val="nil"/>
              <w:left w:val="nil"/>
              <w:bottom w:val="nil"/>
              <w:right w:val="nil"/>
            </w:tcBorders>
            <w:shd w:val="clear" w:color="FFFFFF" w:fill="auto"/>
            <w:vAlign w:val="center"/>
          </w:tcPr>
          <w:p>
            <w:pPr>
              <w:widowControl/>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政府信息公开情况统计表</w:t>
            </w:r>
          </w:p>
        </w:tc>
      </w:tr>
      <w:tr>
        <w:tblPrEx>
          <w:tblLayout w:type="fixed"/>
          <w:tblCellMar>
            <w:top w:w="0" w:type="dxa"/>
            <w:left w:w="108" w:type="dxa"/>
            <w:bottom w:w="0" w:type="dxa"/>
            <w:right w:w="108" w:type="dxa"/>
          </w:tblCellMar>
        </w:tblPrEx>
        <w:trPr>
          <w:trHeight w:val="285" w:hRule="atLeast"/>
          <w:jc w:val="center"/>
        </w:trPr>
        <w:tc>
          <w:tcPr>
            <w:tcW w:w="9555" w:type="dxa"/>
            <w:gridSpan w:val="3"/>
            <w:tcBorders>
              <w:top w:val="nil"/>
              <w:left w:val="nil"/>
              <w:bottom w:val="nil"/>
              <w:right w:val="nil"/>
            </w:tcBorders>
            <w:shd w:val="clear" w:color="FFFFFF" w:fill="auto"/>
            <w:vAlign w:val="center"/>
          </w:tcPr>
          <w:p>
            <w:pPr>
              <w:widowControl/>
              <w:jc w:val="center"/>
              <w:rPr>
                <w:rFonts w:ascii="楷体_GB2312" w:hAnsi="宋体" w:eastAsia="楷体_GB2312" w:cs="宋体"/>
                <w:kern w:val="0"/>
                <w:sz w:val="32"/>
                <w:szCs w:val="32"/>
              </w:rPr>
            </w:pPr>
            <w:r>
              <w:rPr>
                <w:rFonts w:hint="eastAsia" w:ascii="楷体_GB2312" w:hAnsi="宋体" w:eastAsia="楷体_GB2312" w:cs="宋体"/>
                <w:kern w:val="0"/>
                <w:sz w:val="32"/>
                <w:szCs w:val="32"/>
              </w:rPr>
              <w:t>（2015年度）</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统 计 指 标</w:t>
            </w:r>
          </w:p>
        </w:tc>
        <w:tc>
          <w:tcPr>
            <w:tcW w:w="720"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单位</w:t>
            </w:r>
          </w:p>
        </w:tc>
        <w:tc>
          <w:tcPr>
            <w:tcW w:w="1080"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统计数</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一、主动公开情况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8"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660"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（一）主动公开政府信息数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（不同渠道和方式公开相同信息计1条）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widowControl/>
              <w:jc w:val="center"/>
              <w:rPr>
                <w:color w:val="000000"/>
                <w:kern w:val="0"/>
                <w:sz w:val="22"/>
                <w:szCs w:val="22"/>
              </w:rPr>
            </w:pPr>
            <w:r>
              <w:rPr>
                <w:color w:val="000000"/>
                <w:kern w:val="0"/>
                <w:sz w:val="22"/>
                <w:szCs w:val="22"/>
              </w:rPr>
              <w:t>1998</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其中：主动公开规范性文件数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nil"/>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制发规范性文件总数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660" w:hRule="atLeast"/>
          <w:jc w:val="center"/>
        </w:trPr>
        <w:tc>
          <w:tcPr>
            <w:tcW w:w="7755"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（二）重点领域公开政府信息数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（不同渠道和方式公开相同信息计1条）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25</w:t>
            </w:r>
          </w:p>
        </w:tc>
      </w:tr>
      <w:tr>
        <w:tblPrEx>
          <w:tblLayout w:type="fixed"/>
          <w:tblCellMar>
            <w:top w:w="0" w:type="dxa"/>
            <w:left w:w="108" w:type="dxa"/>
            <w:bottom w:w="0" w:type="dxa"/>
            <w:right w:w="108" w:type="dxa"/>
          </w:tblCellMar>
        </w:tblPrEx>
        <w:trPr>
          <w:trHeight w:val="60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rPr>
                <w:rFonts w:ascii="仿宋_GB2312" w:hAnsi="宋体" w:eastAsia="仿宋_GB2312" w:cs="宋体"/>
                <w:kern w:val="0"/>
                <w:sz w:val="24"/>
              </w:rPr>
            </w:pPr>
            <w:r>
              <w:rPr>
                <w:rFonts w:hint="eastAsia" w:ascii="仿宋_GB2312" w:hAnsi="宋体" w:eastAsia="仿宋_GB2312" w:cs="宋体"/>
                <w:kern w:val="0"/>
                <w:sz w:val="24"/>
              </w:rPr>
              <w:t xml:space="preserve">        其中：主动公开财政预算决算、“三公经费”和行政经费信息数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64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主动公开保障性安居工程建设计划、项目开工和竣工情况，保障性住房的分配和退出等信息数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57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主动公开食品安全标准，食品生产经营许可、专项检查整治等信息数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58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主动公开环境核查审批、环境状况公报和重特大突发环境事件等信息数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78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主动公开招投标违法违规行为及处理情况、国有资金占控股或者主导地位依法应当招标的项目等信息数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25</w:t>
            </w:r>
          </w:p>
        </w:tc>
      </w:tr>
      <w:tr>
        <w:tblPrEx>
          <w:tblLayout w:type="fixed"/>
          <w:tblCellMar>
            <w:top w:w="0" w:type="dxa"/>
            <w:left w:w="108" w:type="dxa"/>
            <w:bottom w:w="0" w:type="dxa"/>
            <w:right w:w="108" w:type="dxa"/>
          </w:tblCellMar>
        </w:tblPrEx>
        <w:trPr>
          <w:trHeight w:val="55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主动公开生产安全事故的政府举措、处置进展、风险预警、防范措施等信息数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69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主动公开农用地转为建设用地批准、征收集体土地批准、征地公告、征地补偿安置公示、集体土地征收结案等信息数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72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主动公开政府指导价、政府定价和收费标准调整的项目、价格、依据、执行时间和范围等信息数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52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主动公开本市企业信用信息系统中的警示信息和良好信息等信息数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58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主动公开政府部门预算执行审计结果等信息数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67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主动公开行政机关对与人民群众利益密切相关的公共企事业单位进行监督管理的信息数</w:t>
            </w:r>
          </w:p>
        </w:tc>
        <w:tc>
          <w:tcPr>
            <w:tcW w:w="720" w:type="dxa"/>
            <w:tcBorders>
              <w:top w:val="nil"/>
              <w:left w:val="single" w:color="auto" w:sz="4" w:space="0"/>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8"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主动公开市人民政府决定主动公开的其他信息数</w:t>
            </w:r>
          </w:p>
        </w:tc>
        <w:tc>
          <w:tcPr>
            <w:tcW w:w="720" w:type="dxa"/>
            <w:tcBorders>
              <w:top w:val="single" w:color="auto" w:sz="8" w:space="0"/>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（三）通过不同渠道和方式公开政府信息的情况</w:t>
            </w:r>
          </w:p>
        </w:tc>
        <w:tc>
          <w:tcPr>
            <w:tcW w:w="720" w:type="dxa"/>
            <w:tcBorders>
              <w:top w:val="single" w:color="auto" w:sz="8" w:space="0"/>
              <w:left w:val="nil"/>
              <w:bottom w:val="single" w:color="auto" w:sz="4" w:space="0"/>
              <w:right w:val="single" w:color="auto" w:sz="4" w:space="0"/>
              <w:tr2bl w:val="single" w:color="auto" w:sz="4" w:space="0"/>
            </w:tcBorders>
            <w:shd w:val="clear" w:color="auto" w:fill="auto"/>
            <w:vAlign w:val="center"/>
          </w:tcPr>
          <w:p>
            <w:pPr>
              <w:widowControl/>
              <w:jc w:val="center"/>
              <w:rPr>
                <w:rFonts w:ascii="仿宋_GB2312" w:hAnsi="宋体" w:eastAsia="仿宋_GB2312" w:cs="宋体"/>
                <w:kern w:val="0"/>
                <w:sz w:val="24"/>
              </w:rPr>
            </w:pPr>
          </w:p>
        </w:tc>
        <w:tc>
          <w:tcPr>
            <w:tcW w:w="1080" w:type="dxa"/>
            <w:tcBorders>
              <w:top w:val="single" w:color="auto" w:sz="8" w:space="0"/>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1.政府公报公开政府信息数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1693</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2.政府网站公开政府信息数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683</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3.政务微博公开政府信息数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4.政务微信公开政府信息数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234</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5.其他方式公开政府信息数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二、回应解读情况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6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（一）回应公众关注热点或重大舆情数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（不同方式回应同一热点或舆情计1次）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（二）通过不同渠道和方式回应解读的情况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1.参加或举办新闻发布会总次数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其中：主要负责同志参加新闻发布会次数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2.政府网站在线访谈次数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其中：主要负责同志参加政府网站在线访谈次数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3.政策解读稿件发布数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篇</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4.微博微信回应事件数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5.其他方式回应事件数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三、依申请公开情况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（一）收到申请数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widowControl/>
              <w:jc w:val="center"/>
              <w:rPr>
                <w:color w:val="000000"/>
                <w:kern w:val="0"/>
                <w:sz w:val="22"/>
                <w:szCs w:val="22"/>
              </w:rPr>
            </w:pPr>
            <w:r>
              <w:rPr>
                <w:color w:val="000000"/>
                <w:kern w:val="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1.当面申请数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2.传真申请数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3.网络申请数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4.信函申请数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（二）申请办结数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1.按时办结数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2.延期办结数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（三）申请答复数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1.属于已主动公开范围数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2.同意公开答复数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3.同意部分公开答复数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4.不同意公开答复数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其中：涉及国家秘密</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涉及商业秘密</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涉及个人隐私</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ind w:left="2400" w:hanging="2400" w:hangingChars="1000"/>
              <w:jc w:val="left"/>
              <w:rPr>
                <w:rFonts w:ascii="仿宋_GB2312" w:hAnsi="宋体" w:eastAsia="仿宋_GB2312" w:cs="宋体"/>
                <w:kern w:val="0"/>
                <w:sz w:val="24"/>
              </w:rPr>
            </w:pPr>
            <w:r>
              <w:rPr>
                <w:rFonts w:hint="eastAsia" w:ascii="仿宋_GB2312" w:hAnsi="宋体" w:eastAsia="仿宋_GB2312" w:cs="宋体"/>
                <w:kern w:val="0"/>
                <w:sz w:val="24"/>
              </w:rPr>
              <w:t>　　　　　　　　　　危及国家安全、公共安全、经济安全和社会稳定</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不是《条例》所指政府信息</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法律法规规定的其他情形</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5.不属于本行政机关公开数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6.申请信息不存在数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7.告知作出更改补充数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8.告知通过其他途径办理数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四、行政复议数量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（一）维持具体行政行为数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（二）被依法纠错数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（三）其他情形数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五、行政诉讼数量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（一）维持具体行政行为或者驳回原告诉讼请求数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（二）被依法纠错数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（三）其他情形数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六、举报投诉数量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七、依申请公开信息收取的费用</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万元</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八、机构建设和保障经费情况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（一）政府信息公开工作专门机构数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个</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（二）设置政府信息公开查阅点数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个</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（三）从事政府信息公开工作人员数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1.专职人员数（不包括政府公报及政府网站工作人员数）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2.兼职人员数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2</w:t>
            </w:r>
          </w:p>
        </w:tc>
      </w:tr>
      <w:tr>
        <w:tblPrEx>
          <w:tblLayout w:type="fixed"/>
          <w:tblCellMar>
            <w:top w:w="0" w:type="dxa"/>
            <w:left w:w="108" w:type="dxa"/>
            <w:bottom w:w="0" w:type="dxa"/>
            <w:right w:w="108" w:type="dxa"/>
          </w:tblCellMar>
        </w:tblPrEx>
        <w:trPr>
          <w:trHeight w:val="660"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ind w:left="960" w:hanging="960" w:hangingChars="400"/>
              <w:jc w:val="left"/>
              <w:rPr>
                <w:rFonts w:ascii="仿宋_GB2312" w:hAnsi="宋体" w:eastAsia="仿宋_GB2312" w:cs="宋体"/>
                <w:kern w:val="0"/>
                <w:sz w:val="24"/>
              </w:rPr>
            </w:pPr>
            <w:r>
              <w:rPr>
                <w:rFonts w:hint="eastAsia" w:ascii="仿宋_GB2312" w:hAnsi="宋体" w:eastAsia="仿宋_GB2312" w:cs="宋体"/>
                <w:kern w:val="0"/>
                <w:sz w:val="24"/>
              </w:rPr>
              <w:t xml:space="preserve">  （四）政府信息公开专项经费（不包括用于政府公报编辑管理及政府网站建设维护等方面的经费）</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万元</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九、政府信息公开会议和培训情况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（一）召开政府信息公开工作会议或专题会议数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（二）举办各类培训班数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（三）接受培训人员数</w:t>
            </w:r>
          </w:p>
        </w:tc>
        <w:tc>
          <w:tcPr>
            <w:tcW w:w="720"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人次</w:t>
            </w:r>
          </w:p>
        </w:tc>
        <w:tc>
          <w:tcPr>
            <w:tcW w:w="1080" w:type="dxa"/>
            <w:tcBorders>
              <w:top w:val="nil"/>
              <w:left w:val="nil"/>
              <w:bottom w:val="single" w:color="auto" w:sz="8" w:space="0"/>
              <w:right w:val="single" w:color="auto" w:sz="8" w:space="0"/>
            </w:tcBorders>
            <w:shd w:val="clear" w:color="auto" w:fill="auto"/>
            <w:vAlign w:val="center"/>
          </w:tcPr>
          <w:p>
            <w:pPr>
              <w:jc w:val="center"/>
              <w:rPr>
                <w:color w:val="000000"/>
                <w:sz w:val="22"/>
                <w:szCs w:val="22"/>
              </w:rPr>
            </w:pPr>
            <w:r>
              <w:rPr>
                <w:color w:val="000000"/>
                <w:sz w:val="22"/>
                <w:szCs w:val="22"/>
              </w:rPr>
              <w:t>0</w:t>
            </w:r>
          </w:p>
        </w:tc>
      </w:tr>
    </w:tbl>
    <w:p>
      <w:pPr>
        <w:widowControl/>
        <w:spacing w:line="560" w:lineRule="exact"/>
        <w:ind w:left="4469" w:leftChars="2128" w:right="480"/>
        <w:jc w:val="right"/>
        <w:rPr>
          <w:rFonts w:ascii="仿宋_GB2312" w:hAnsi="宋体" w:eastAsia="仿宋_GB2312" w:cs="宋体"/>
          <w:kern w:val="0"/>
          <w:sz w:val="32"/>
          <w:szCs w:val="32"/>
        </w:rPr>
      </w:pPr>
    </w:p>
    <w:sectPr>
      <w:footerReference r:id="rId3" w:type="default"/>
      <w:footerReference r:id="rId4" w:type="even"/>
      <w:pgSz w:w="11906" w:h="16838"/>
      <w:pgMar w:top="1440" w:right="1800" w:bottom="1440" w:left="1800"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 w:name="汉仪大宋简">
    <w:altName w:val="Arial"/>
    <w:panose1 w:val="00000000000000000000"/>
    <w:charset w:val="00"/>
    <w:family w:val="swiss"/>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8</w:t>
    </w:r>
    <w:r>
      <w:rPr>
        <w:rStyle w:val="9"/>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96383E"/>
    <w:multiLevelType w:val="singleLevel"/>
    <w:tmpl w:val="9B96383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F34FE"/>
    <w:rsid w:val="00011299"/>
    <w:rsid w:val="0001550B"/>
    <w:rsid w:val="00024A33"/>
    <w:rsid w:val="00030ED2"/>
    <w:rsid w:val="000477DD"/>
    <w:rsid w:val="00061A8B"/>
    <w:rsid w:val="0006724E"/>
    <w:rsid w:val="0008546D"/>
    <w:rsid w:val="00091B5A"/>
    <w:rsid w:val="00095C94"/>
    <w:rsid w:val="000C3E2E"/>
    <w:rsid w:val="000D7F41"/>
    <w:rsid w:val="000E18D5"/>
    <w:rsid w:val="000F5455"/>
    <w:rsid w:val="000F57C6"/>
    <w:rsid w:val="00135812"/>
    <w:rsid w:val="00136479"/>
    <w:rsid w:val="001649F9"/>
    <w:rsid w:val="00165D78"/>
    <w:rsid w:val="001770DC"/>
    <w:rsid w:val="00191E43"/>
    <w:rsid w:val="001969C7"/>
    <w:rsid w:val="001A132F"/>
    <w:rsid w:val="001A438D"/>
    <w:rsid w:val="001C335D"/>
    <w:rsid w:val="001D1E24"/>
    <w:rsid w:val="001E0EDB"/>
    <w:rsid w:val="001F1E77"/>
    <w:rsid w:val="0020438B"/>
    <w:rsid w:val="002050C9"/>
    <w:rsid w:val="00215A1F"/>
    <w:rsid w:val="00220270"/>
    <w:rsid w:val="00234422"/>
    <w:rsid w:val="00255962"/>
    <w:rsid w:val="00263CF6"/>
    <w:rsid w:val="0026751C"/>
    <w:rsid w:val="00267D9B"/>
    <w:rsid w:val="00276839"/>
    <w:rsid w:val="002822CE"/>
    <w:rsid w:val="00282A54"/>
    <w:rsid w:val="002A61EF"/>
    <w:rsid w:val="002B3EA2"/>
    <w:rsid w:val="002C6CC3"/>
    <w:rsid w:val="002D0C52"/>
    <w:rsid w:val="002D25F5"/>
    <w:rsid w:val="002E4D22"/>
    <w:rsid w:val="002F450B"/>
    <w:rsid w:val="00303BA7"/>
    <w:rsid w:val="00312FA6"/>
    <w:rsid w:val="00315E66"/>
    <w:rsid w:val="0032036E"/>
    <w:rsid w:val="00323318"/>
    <w:rsid w:val="0033311E"/>
    <w:rsid w:val="00350B99"/>
    <w:rsid w:val="00364095"/>
    <w:rsid w:val="00372FD8"/>
    <w:rsid w:val="00373CA6"/>
    <w:rsid w:val="00385552"/>
    <w:rsid w:val="00386739"/>
    <w:rsid w:val="00391E8B"/>
    <w:rsid w:val="00393804"/>
    <w:rsid w:val="003A2DE8"/>
    <w:rsid w:val="003B0C86"/>
    <w:rsid w:val="003C2EA7"/>
    <w:rsid w:val="003C3529"/>
    <w:rsid w:val="003C4B6C"/>
    <w:rsid w:val="003D407B"/>
    <w:rsid w:val="003D7F85"/>
    <w:rsid w:val="003F0526"/>
    <w:rsid w:val="003F386C"/>
    <w:rsid w:val="0040195E"/>
    <w:rsid w:val="00404D78"/>
    <w:rsid w:val="00430A10"/>
    <w:rsid w:val="00435E1C"/>
    <w:rsid w:val="0043690A"/>
    <w:rsid w:val="0043773A"/>
    <w:rsid w:val="00442F1C"/>
    <w:rsid w:val="00444222"/>
    <w:rsid w:val="00444749"/>
    <w:rsid w:val="00455D1F"/>
    <w:rsid w:val="00464DE1"/>
    <w:rsid w:val="00475F51"/>
    <w:rsid w:val="00480EBD"/>
    <w:rsid w:val="004835AE"/>
    <w:rsid w:val="00487459"/>
    <w:rsid w:val="00487674"/>
    <w:rsid w:val="00493506"/>
    <w:rsid w:val="0049714A"/>
    <w:rsid w:val="004B1F88"/>
    <w:rsid w:val="004E0C30"/>
    <w:rsid w:val="004E3F3D"/>
    <w:rsid w:val="004E7A7F"/>
    <w:rsid w:val="00500F43"/>
    <w:rsid w:val="005038B7"/>
    <w:rsid w:val="005051AA"/>
    <w:rsid w:val="00511D6A"/>
    <w:rsid w:val="00541E1B"/>
    <w:rsid w:val="00552C13"/>
    <w:rsid w:val="00552E76"/>
    <w:rsid w:val="00561B6A"/>
    <w:rsid w:val="00566A85"/>
    <w:rsid w:val="0057505F"/>
    <w:rsid w:val="00576AA8"/>
    <w:rsid w:val="00590400"/>
    <w:rsid w:val="005933D4"/>
    <w:rsid w:val="005A43F9"/>
    <w:rsid w:val="005A5BA1"/>
    <w:rsid w:val="005B59E2"/>
    <w:rsid w:val="005C4FC2"/>
    <w:rsid w:val="005C5EB9"/>
    <w:rsid w:val="005D35EC"/>
    <w:rsid w:val="005D38A7"/>
    <w:rsid w:val="005D454A"/>
    <w:rsid w:val="005D70D9"/>
    <w:rsid w:val="005E06C3"/>
    <w:rsid w:val="005E137E"/>
    <w:rsid w:val="005E3B9B"/>
    <w:rsid w:val="005F42E9"/>
    <w:rsid w:val="0062038E"/>
    <w:rsid w:val="006456F4"/>
    <w:rsid w:val="00673972"/>
    <w:rsid w:val="006800C1"/>
    <w:rsid w:val="006806E4"/>
    <w:rsid w:val="0068740C"/>
    <w:rsid w:val="006B2C55"/>
    <w:rsid w:val="006D3C9C"/>
    <w:rsid w:val="00704AAF"/>
    <w:rsid w:val="00716195"/>
    <w:rsid w:val="007300BC"/>
    <w:rsid w:val="007318B4"/>
    <w:rsid w:val="00732FB8"/>
    <w:rsid w:val="00733332"/>
    <w:rsid w:val="0073390C"/>
    <w:rsid w:val="007440C9"/>
    <w:rsid w:val="00746C24"/>
    <w:rsid w:val="00747B06"/>
    <w:rsid w:val="00750D2A"/>
    <w:rsid w:val="00754E59"/>
    <w:rsid w:val="00770AD8"/>
    <w:rsid w:val="0077218A"/>
    <w:rsid w:val="007746CC"/>
    <w:rsid w:val="007939C3"/>
    <w:rsid w:val="00794CE0"/>
    <w:rsid w:val="007A1833"/>
    <w:rsid w:val="007C71C1"/>
    <w:rsid w:val="007F2536"/>
    <w:rsid w:val="00800AA7"/>
    <w:rsid w:val="00802EFC"/>
    <w:rsid w:val="00804A0A"/>
    <w:rsid w:val="00807928"/>
    <w:rsid w:val="008238B3"/>
    <w:rsid w:val="00824136"/>
    <w:rsid w:val="00830104"/>
    <w:rsid w:val="00840166"/>
    <w:rsid w:val="00845ADF"/>
    <w:rsid w:val="00846086"/>
    <w:rsid w:val="00860E3E"/>
    <w:rsid w:val="00861529"/>
    <w:rsid w:val="00874774"/>
    <w:rsid w:val="00875C8E"/>
    <w:rsid w:val="00896F27"/>
    <w:rsid w:val="008A2B14"/>
    <w:rsid w:val="008A3AC4"/>
    <w:rsid w:val="008C1089"/>
    <w:rsid w:val="008C4AF7"/>
    <w:rsid w:val="008E15A5"/>
    <w:rsid w:val="008E196E"/>
    <w:rsid w:val="008E6450"/>
    <w:rsid w:val="00906445"/>
    <w:rsid w:val="00910CBB"/>
    <w:rsid w:val="0092083B"/>
    <w:rsid w:val="00922313"/>
    <w:rsid w:val="0092687B"/>
    <w:rsid w:val="009271F8"/>
    <w:rsid w:val="00927878"/>
    <w:rsid w:val="00931057"/>
    <w:rsid w:val="009367A0"/>
    <w:rsid w:val="0094334E"/>
    <w:rsid w:val="00945159"/>
    <w:rsid w:val="009706DE"/>
    <w:rsid w:val="00971C58"/>
    <w:rsid w:val="009746D0"/>
    <w:rsid w:val="0099649A"/>
    <w:rsid w:val="009B3C87"/>
    <w:rsid w:val="009C62B8"/>
    <w:rsid w:val="009C6833"/>
    <w:rsid w:val="009D2611"/>
    <w:rsid w:val="009D3508"/>
    <w:rsid w:val="009D79B0"/>
    <w:rsid w:val="009E1810"/>
    <w:rsid w:val="009F3F88"/>
    <w:rsid w:val="00A0311A"/>
    <w:rsid w:val="00A1509C"/>
    <w:rsid w:val="00A20BE9"/>
    <w:rsid w:val="00A23A68"/>
    <w:rsid w:val="00A61446"/>
    <w:rsid w:val="00A714B2"/>
    <w:rsid w:val="00A90797"/>
    <w:rsid w:val="00AD5E1D"/>
    <w:rsid w:val="00AD6B74"/>
    <w:rsid w:val="00AE73D2"/>
    <w:rsid w:val="00AF39B8"/>
    <w:rsid w:val="00AF7359"/>
    <w:rsid w:val="00B00603"/>
    <w:rsid w:val="00B06294"/>
    <w:rsid w:val="00B128C1"/>
    <w:rsid w:val="00B13752"/>
    <w:rsid w:val="00B15089"/>
    <w:rsid w:val="00B458B5"/>
    <w:rsid w:val="00B64D10"/>
    <w:rsid w:val="00B72A12"/>
    <w:rsid w:val="00B92952"/>
    <w:rsid w:val="00BA1750"/>
    <w:rsid w:val="00BA778C"/>
    <w:rsid w:val="00BB329A"/>
    <w:rsid w:val="00BC3B1C"/>
    <w:rsid w:val="00BD0DF3"/>
    <w:rsid w:val="00BD4C14"/>
    <w:rsid w:val="00C008B5"/>
    <w:rsid w:val="00C127B0"/>
    <w:rsid w:val="00C1318D"/>
    <w:rsid w:val="00C2000A"/>
    <w:rsid w:val="00C21AD9"/>
    <w:rsid w:val="00C32DA8"/>
    <w:rsid w:val="00C33A95"/>
    <w:rsid w:val="00C51BCA"/>
    <w:rsid w:val="00C66BED"/>
    <w:rsid w:val="00C70936"/>
    <w:rsid w:val="00C9001A"/>
    <w:rsid w:val="00C92922"/>
    <w:rsid w:val="00CB691D"/>
    <w:rsid w:val="00CC1169"/>
    <w:rsid w:val="00CC6F1F"/>
    <w:rsid w:val="00CD2247"/>
    <w:rsid w:val="00CD70A9"/>
    <w:rsid w:val="00CE7AA8"/>
    <w:rsid w:val="00CF1B2B"/>
    <w:rsid w:val="00D03C7D"/>
    <w:rsid w:val="00D14DEE"/>
    <w:rsid w:val="00D22E11"/>
    <w:rsid w:val="00D23DCC"/>
    <w:rsid w:val="00D35E05"/>
    <w:rsid w:val="00D52A19"/>
    <w:rsid w:val="00D61FDB"/>
    <w:rsid w:val="00D622F1"/>
    <w:rsid w:val="00D748D2"/>
    <w:rsid w:val="00D85444"/>
    <w:rsid w:val="00DA26B0"/>
    <w:rsid w:val="00DB6223"/>
    <w:rsid w:val="00DC3D8E"/>
    <w:rsid w:val="00DD0601"/>
    <w:rsid w:val="00DE49A7"/>
    <w:rsid w:val="00DE52B6"/>
    <w:rsid w:val="00DF0BD8"/>
    <w:rsid w:val="00DF4EBD"/>
    <w:rsid w:val="00E02AE0"/>
    <w:rsid w:val="00E034E9"/>
    <w:rsid w:val="00E112FE"/>
    <w:rsid w:val="00E128C4"/>
    <w:rsid w:val="00E20708"/>
    <w:rsid w:val="00E20935"/>
    <w:rsid w:val="00E219EF"/>
    <w:rsid w:val="00E31FFF"/>
    <w:rsid w:val="00E32008"/>
    <w:rsid w:val="00E71476"/>
    <w:rsid w:val="00E74F2C"/>
    <w:rsid w:val="00E90178"/>
    <w:rsid w:val="00E97511"/>
    <w:rsid w:val="00EA0880"/>
    <w:rsid w:val="00EA4E95"/>
    <w:rsid w:val="00EB1F9C"/>
    <w:rsid w:val="00ED2876"/>
    <w:rsid w:val="00ED2A5C"/>
    <w:rsid w:val="00ED3380"/>
    <w:rsid w:val="00EE462E"/>
    <w:rsid w:val="00EF142A"/>
    <w:rsid w:val="00EF398F"/>
    <w:rsid w:val="00EF3F47"/>
    <w:rsid w:val="00EF52CD"/>
    <w:rsid w:val="00F2797D"/>
    <w:rsid w:val="00F32436"/>
    <w:rsid w:val="00F32D9A"/>
    <w:rsid w:val="00F34CEC"/>
    <w:rsid w:val="00F401B1"/>
    <w:rsid w:val="00F438C0"/>
    <w:rsid w:val="00F60F29"/>
    <w:rsid w:val="00F90FD2"/>
    <w:rsid w:val="00F95C81"/>
    <w:rsid w:val="00FB0102"/>
    <w:rsid w:val="00FB3A68"/>
    <w:rsid w:val="00FB481B"/>
    <w:rsid w:val="00FC27C7"/>
    <w:rsid w:val="00FC7A87"/>
    <w:rsid w:val="00FE5955"/>
    <w:rsid w:val="00FE759B"/>
    <w:rsid w:val="00FF0E63"/>
    <w:rsid w:val="00FF34FE"/>
    <w:rsid w:val="594F13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Body Text"/>
    <w:basedOn w:val="1"/>
    <w:uiPriority w:val="0"/>
    <w:pPr>
      <w:suppressAutoHyphens/>
      <w:jc w:val="center"/>
    </w:pPr>
    <w:rPr>
      <w:rFonts w:ascii="方正小标宋简体" w:hAnsi="汉仪大宋简" w:eastAsia="方正小标宋简体"/>
      <w:color w:val="000000"/>
      <w:kern w:val="0"/>
      <w:sz w:val="44"/>
      <w:szCs w:val="20"/>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0"/>
    <w:pPr>
      <w:widowControl/>
      <w:spacing w:before="100" w:beforeAutospacing="1" w:after="100" w:afterAutospacing="1"/>
      <w:jc w:val="left"/>
    </w:pPr>
    <w:rPr>
      <w:rFonts w:ascii="宋体" w:hAnsi="宋体" w:cs="宋体"/>
      <w:kern w:val="0"/>
      <w:sz w:val="24"/>
    </w:rPr>
  </w:style>
  <w:style w:type="character" w:styleId="9">
    <w:name w:val="page number"/>
    <w:basedOn w:val="8"/>
    <w:qFormat/>
    <w:uiPriority w:val="0"/>
  </w:style>
  <w:style w:type="paragraph" w:customStyle="1" w:styleId="11">
    <w:name w:val="Char Char Char Char"/>
    <w:basedOn w:val="2"/>
    <w:uiPriority w:val="0"/>
    <w:pPr>
      <w:adjustRightInd w:val="0"/>
      <w:spacing w:line="436" w:lineRule="exact"/>
      <w:ind w:left="357"/>
      <w:jc w:val="left"/>
      <w:outlineLvl w:val="3"/>
    </w:pPr>
    <w:rPr>
      <w:rFonts w:ascii="Tahoma" w:hAnsi="Tahoma"/>
      <w:b/>
      <w:sz w:val="24"/>
    </w:rPr>
  </w:style>
  <w:style w:type="paragraph" w:customStyle="1" w:styleId="12">
    <w:name w:val="Char Char Char1 Char Char Char Char"/>
    <w:basedOn w:val="2"/>
    <w:qFormat/>
    <w:uiPriority w:val="0"/>
    <w:pPr>
      <w:adjustRightInd w:val="0"/>
      <w:spacing w:line="436" w:lineRule="exact"/>
      <w:ind w:left="357"/>
      <w:jc w:val="left"/>
      <w:outlineLvl w:val="3"/>
    </w:pPr>
    <w:rPr>
      <w:rFonts w:ascii="Tahoma" w:hAnsi="Tahoma"/>
      <w:b/>
      <w:sz w:val="24"/>
    </w:rPr>
  </w:style>
  <w:style w:type="character" w:customStyle="1" w:styleId="13">
    <w:name w:val="页眉 Char"/>
    <w:link w:val="6"/>
    <w:qFormat/>
    <w:uiPriority w:val="0"/>
    <w:rPr>
      <w:kern w:val="2"/>
      <w:sz w:val="18"/>
      <w:szCs w:val="18"/>
    </w:rPr>
  </w:style>
  <w:style w:type="paragraph" w:customStyle="1" w:styleId="14">
    <w:name w:val="Char Char1 Char Char Char Char Char Char"/>
    <w:basedOn w:val="2"/>
    <w:qFormat/>
    <w:uiPriority w:val="0"/>
    <w:pPr>
      <w:adjustRightInd w:val="0"/>
      <w:spacing w:line="436" w:lineRule="exact"/>
      <w:ind w:left="357"/>
      <w:jc w:val="left"/>
      <w:outlineLvl w:val="3"/>
    </w:pPr>
    <w:rPr>
      <w:rFonts w:ascii="Tahoma" w:hAnsi="Tahoma"/>
      <w:b/>
      <w:sz w:val="24"/>
      <w:szCs w:val="32"/>
    </w:rPr>
  </w:style>
  <w:style w:type="paragraph" w:customStyle="1" w:styleId="15">
    <w:name w:val="Char Char"/>
    <w:basedOn w:val="2"/>
    <w:qFormat/>
    <w:uiPriority w:val="0"/>
    <w:rPr>
      <w:rFonts w:ascii="Tahoma" w:hAnsi="Tahoma"/>
      <w:sz w:val="24"/>
      <w:szCs w:val="20"/>
    </w:rPr>
  </w:style>
  <w:style w:type="paragraph" w:customStyle="1" w:styleId="16">
    <w:name w:val="Char Char Char Char Char Char Char Char Char Char Char Char"/>
    <w:basedOn w:val="2"/>
    <w:qFormat/>
    <w:uiPriority w:val="0"/>
    <w:pPr>
      <w:adjustRightInd w:val="0"/>
      <w:spacing w:line="436" w:lineRule="exact"/>
      <w:ind w:left="357"/>
      <w:jc w:val="left"/>
      <w:outlineLvl w:val="3"/>
    </w:pPr>
    <w:rPr>
      <w:rFonts w:ascii="Tahoma" w:hAnsi="Tahoma"/>
      <w:b/>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Company>
  <Pages>9</Pages>
  <Words>679</Words>
  <Characters>3871</Characters>
  <Lines>32</Lines>
  <Paragraphs>9</Paragraphs>
  <TotalTime>1</TotalTime>
  <ScaleCrop>false</ScaleCrop>
  <LinksUpToDate>false</LinksUpToDate>
  <CharactersWithSpaces>4541</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2016-02-22T09:36:00Z</dcterms:created>
  <dc:creator>ss</dc:creator>
  <cp:lastModifiedBy>街道办公文</cp:lastModifiedBy>
  <cp:lastPrinted>2016-02-22T09:27:00Z</cp:lastPrinted>
  <dcterms:modified xsi:type="dcterms:W3CDTF">2019-11-20T11:21:53Z</dcterms:modified>
  <dc:title>北京市200×年××局政府信息公开</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